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51E9" w:rsidRDefault="000951E9" w:rsidP="00174B5C">
      <w:pPr>
        <w:shd w:val="clear" w:color="auto" w:fill="FFFFFF"/>
        <w:spacing w:before="100" w:beforeAutospacing="1" w:after="100" w:afterAutospacing="1"/>
        <w:jc w:val="center"/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</w:pPr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>ЗАОЧНОЕ РЕШЕНИЕ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 xml:space="preserve">именем </w:t>
      </w:r>
      <w:proofErr w:type="spellStart"/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>Российскои</w:t>
      </w:r>
      <w:proofErr w:type="spellEnd"/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>̆ Федерации</w:t>
      </w:r>
    </w:p>
    <w:p w:rsidR="000951E9" w:rsidRPr="000951E9" w:rsidRDefault="00174B5C" w:rsidP="000951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>03.06.2019г.</w:t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ab/>
      </w:r>
      <w:proofErr w:type="spellStart"/>
      <w:r>
        <w:rPr>
          <w:rFonts w:ascii="TimesNewRomanPSMT" w:eastAsia="Times New Roman" w:hAnsi="TimesNewRomanPSMT" w:cs="Times New Roman"/>
          <w:sz w:val="26"/>
          <w:szCs w:val="26"/>
          <w:lang w:eastAsia="ru-RU"/>
        </w:rPr>
        <w:t>г.Москва</w:t>
      </w:r>
      <w:proofErr w:type="spellEnd"/>
      <w:r w:rsidR="000951E9"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</w:p>
    <w:p w:rsidR="000951E9" w:rsidRPr="000951E9" w:rsidRDefault="000951E9" w:rsidP="000951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Люблинскии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районныи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суд адрес в составе председательствующего судьи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при секретаре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</w:t>
      </w:r>
    </w:p>
    <w:p w:rsidR="000951E9" w:rsidRPr="000951E9" w:rsidRDefault="000951E9" w:rsidP="000951E9">
      <w:pPr>
        <w:shd w:val="clear" w:color="auto" w:fill="FFFFFF"/>
        <w:spacing w:before="100" w:beforeAutospacing="1" w:after="100" w:afterAutospacing="1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рассмотрев в открытом судебном заседании гражданское дело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2-2795/2019 по иску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</w:t>
      </w:r>
      <w:proofErr w:type="gram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 наименование</w:t>
      </w:r>
      <w:proofErr w:type="gram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организации 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>УСТАНОВИЛ: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обратился в суд с иском к наименование организации 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в котором просил расторгнуть договоры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15.08.2018-7099 от дата 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13.09.2018-7279 от дата об оказании юридических услуг, заключенные между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наименование организации; взыскать с ответчика денежные средства, уплаченные по договорам, в </w:t>
      </w:r>
      <w:bookmarkStart w:id="0" w:name="_GoBack"/>
      <w:bookmarkEnd w:id="0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сумме сумма, компенсацию морального вреда в размере сумма, штраф.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Истец в судебное заседание не явился, обеспечив явку представителя </w:t>
      </w:r>
      <w:r w:rsidR="00174B5C" w:rsidRPr="00174B5C">
        <w:rPr>
          <w:rFonts w:ascii="TimesNewRomanPSMT" w:eastAsia="Times New Roman" w:hAnsi="TimesNewRomanPSMT" w:cs="Times New Roman"/>
          <w:b/>
          <w:bCs/>
          <w:sz w:val="26"/>
          <w:szCs w:val="26"/>
          <w:lang w:eastAsia="ru-RU"/>
        </w:rPr>
        <w:t>адвоката Лавровой Е.А.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действующеи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на основании доверенности, заявленные требования поддержала по доводам, изложенным в иске, просила их удовлетворить.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Ответчик наименование организации явку своего представителя в судебное заседание не обеспечил, извещен надлежащим образом, о причинах неявки не уведомлял, возражений на иск не представил.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Суд, выслушав объяснения представителя истца, изучив письменные материалы дела, считает исковые требования обоснованными и подлежащими частичному удовлетворению по следующим основаниям.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силу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ч. 1 ст. 13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ФЗ РФ от 7.02.1992 года N 2300-1 "О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̆", за нарушение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изготовитель (исполнитель, продавец, уполномоченная организация или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уполномоченныи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индивидуальныи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предприниматель, импортер) несет ответственность, предусмотренную законом или договором.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Согласно ст. 730 ГК РФ по договору бытового подряда подрядчик,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осуществляющии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соответствующую предпринимательскую деятельность, обязуется выполнить по заданию гражданина (заказчика) определенную работу, предназначенную удовлетворять бытовые или другие личные потребности заказчика, а заказчик обязуется принять и оплатить работу.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Договор бытового подряда является публичным договором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(статья 426)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К отношениям по договору бытового подряда, не урегулированным настоящим Кодексом, применяются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законы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 иные правовые акты, принятые в соответствии с ними.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ст. 732 ГК РФ подрядчик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обязан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до заключения договора бытового подряда предоставить заказчику необходимую и достоверную информацию о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предлагаемои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работе, ее видах и об особенностях, о цене и форме оплаты, а также сообщить заказчику по его просьбе другие относящиеся к договору 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соответствующеи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работе сведения. Если по характеру работы это имеет значение, подрядчик должен указать заказчику конкретное лицо, которое будет ее выполнять.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Заказчик вправе требовать расторжения заключенного договора бытового подряда без оплаты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выполненнои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работы, а также возмещения убытков в случаях, когда вследствие неполноты или недостоверности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полученнои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от подрядчика информации был заключен договор на выполнение работы, не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обладающеи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свойствами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которые имел в виду заказчик.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Подрядчик, не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предоставившии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заказчику информации о работе,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указаннои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в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пункте 1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настоящеи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статьи, несет ответственность и за те недостатки работы, которые возникли после ее передачи заказчику вследствие отсутствия у него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такои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информации.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силу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ст. ст. 779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782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ГК РФ по договору возмездного оказания услуг исполнитель обязуется по заданию заказчика оказать услуги (совершить определенные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действия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или осуществить определенную деятельность), а заказчик обязуется оплатить эти услуги. Заказчик вправе отказаться от исполнения договора возмездного оказания услуг при условии оплаты исполнителю фактически понесенных им расходов.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Судом установлено, что дата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обратился в наименование организации за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юридическои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помощью, заключив договор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15.08.2018-7099. Предметом договора является подготовка жалобы Председателю ВС РФ, жалобу в квалификационную коллегию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судеи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̆. Стоимость услуг по данному договору составила сумма Указанная сумма полностью уплачена истцом, что подтверждается кассовым чеком.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дата между сторонами по иску был заключен еще один договор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13.09.2018-7279 об оказании юридических услуг. Предметом договора является выезд юриста по вопросу подачи жалобы Председателю ВС РФ и в квалификационную коллегию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судеи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от имени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корректировка жалобы. Стоимость работ по данному договору составила сумма Указанная сумму уплачена истцом ответчику, что подтверждается кассовым чеком.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Из пояснений истца и материалов дела следует, что сотрудники ответчика подготовили документы, не соответствующие требованиям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действующего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законодательства, которые не позволили бы достигнуть результата, на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рассчитывал истец при заключении договоров, поскольку целью обращения к ответчику было обжалование судебных постановлений, вынесенных по иску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к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об установлении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межевои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границы земельного участка.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дата истец обратился к ответчику с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претензиеи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указал на то, что ответчиком оказана неквалифицированная юридическая помощь и потребовал вернуть денежные средства 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общеи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сумме сумма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Ответчик на данное заявление не ответил.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силу требований п. 4 ст. 13, п. 5 ст. 14, п. 6 ст. 18 Закона "О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̆" бремя доказывания обстоятельств, освобождающих от ответственности за неисполнение либо ненадлежащее исполнение обязательств, лежит на продавце (изготовителе, исполнителе,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уполномоченнои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организация или уполномоченном индивидуальном предпринимателе, импортере). В соответствии ч.2 ст. 401 ГК РФ отсутствие вины доказывается лицом, нарушившим обязательство.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п. 1 ст. 56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ГПК РФ, каждая сторона должна доказать те обстоятельства, на которые она ссылается как на основания своих требований и возражений, если иное не предусмотрено федеральным законом.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Ответчиком не представлено достоверных доказательств надлежащего исполнения принятых на себя обязательств по оказанию истцу юридических услуг.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Основания изменения и расторжения договора предусмотрены ст. 450 ГК РФ, согласно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изменение и расторжение договора возможны по соглашению сторон, если иное не предусмотрено настоящим Кодексом, другими законами или договором. По требованию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однои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из сторон договор может быть изменен или расторгнут по решению суда только: при существенном нарушении договора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другои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сторонои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̆; в иных случаях, предусмотренных настоящим Кодексом, другими законами или договором.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Суд полагает ненадлежащее исполнение обязательств по договору является существенным нарушением его условий, в силу чего он подлежит расторжению, а исковые требования 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этои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части удовлетворению.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Согласно ст. 724 ГК РФ, если иное не установлено законом или договором подряда, заказчик вправе предъявить требования, связанные с ненадлежащим качеством результата работы, при условии, что оно выявлено в сроки, установленные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настоящеи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статьеи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̆. 2. В случае, когда на результат работы не установлен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гарантийныи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срок, требования, связанные с недостатками результата работы, могут быть предъявлены заказчиком при условии, что они были обнаружены 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разумныи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срок, но в пределах двух лет со дня передачи результата работы, если иные сроки не установлены законом, договором или обычаями делового оборота.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ст. 739 ГК РФ в случае ненадлежащего выполнения или невыполнения работы по договору бытового подряда заказчик может воспользоваться правами, предоставленными покупателю в соответствии со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статьями 503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-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505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настоящего Кодекса.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Поскольку ответчиком не представлено доказательств надлежащего и качественного оказания услуг, которые бы привели к тому результату, на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истец вправе был рассчитывать при заключении договора.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На основании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ст. 15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Закона РФ "О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̆" подлежит компенсации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причинителем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вреда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моральныи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вред,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причиненныи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потребителю вследствие нарушения продавцом прав потребителя, предусмотренных законами и правовыми актами РФ, регулирующими отношения в области защиты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Суд, исходя из характера и степени причиненных истцу нравственных страданий, степени вины ответчика, требований разумности и справедливости, считает возможным взыскать с ответчика в пользу истца компенсацию морального вреда в размере сумма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ч.6 ст.13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Закона РФ "О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̆" при удовлетворении судом требований потребителя, установленных законом, суд взыскивает с изготовителя (исполнителя, продавца,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уполномоченнои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организации или уполномоченного индивидуального предпринимателя, импортера) за несоблюдение в добровольном порядке удовлетворения требований потребителя штраф в размере пятьдесят процентов от суммы,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присужденнои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судом в пользу потребителя.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Исходя из разъяснений, содержащихся в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пункте46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Постановления пленума Верховного Суда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Российскои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Федерации </w:t>
      </w:r>
      <w:proofErr w:type="gram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от дата</w:t>
      </w:r>
      <w:proofErr w:type="gram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N17 "О рассмотрении судами гражданских дел по спорам 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̆" согласно которым при удовлетворении судом требований потребителя в связи с нарушением его прав,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установленных Законом 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которые не были удовлетворены в добровольном порядке изготовителем (исполнителем, продавцом,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уполномоченнои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организациеи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̆ или уполномоченным индивидуальным предпринимателем, импортером), суд взыскивает с ответчика в пользу потребителя штраф независимо от того, заявлялось ли такое требование суду (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пункт 6 статьи 13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Закона).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Таким образом, размер штрафа составит сумма (94 500 + 3000): 2).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Разрешая заявленные исковые требования, суд приходит к выводу о наличии совокупности юридически значимых обстоятельств, при которых иск подлежит частичному удовлетворению.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Данныи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вывод суд основывает на анализе материалов, представленных и исследованных в ходе судебного заседания,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дает оценку в соответствии с требованиями ст. 67 ГПК РФ, и в соответствии с положениями норм материального права, регулирующих спорные правоотношения.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ч. 1 ст. 98 ГПК РФ стороне, в пользу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состоялось решение суда, суд присуждает возместить с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другои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стороны все понесенные по делу судебные расходы, за исключением случаев, предусмотренных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частью </w:t>
      </w:r>
      <w:proofErr w:type="spellStart"/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второи</w:t>
      </w:r>
      <w:proofErr w:type="spellEnd"/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̆ статьи 96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настоящего Кодекса.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Согласно ч. 1 ст. 100 ГПК РФ стороне, в пользу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которои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состоялось решение суда, по ее письменному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ходатайству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суд присуждает с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другои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стороны расходы на оплату услуг представителя в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разумных пределах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 xml:space="preserve">На основании постановления Пленума Верховного Суда РФ от дата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 «О некоторых вопросах применения законодательства о возмещении издержек, связанных с рассмотрением дела» при неполном (частичном) удовлетворении требований расходы на оплату услуг представителя присуждаются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каждои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̆ из сторон в разумных пределах и распределяются в соответствии с правилом о пропорциональном распределении судебных расходов (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статьи 98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100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ГПК РФ,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>статьи 111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,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112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КАС РФ, </w:t>
      </w:r>
      <w:r w:rsidRPr="000951E9">
        <w:rPr>
          <w:rFonts w:ascii="TimesNewRomanPSMT" w:eastAsia="Times New Roman" w:hAnsi="TimesNewRomanPSMT" w:cs="Times New Roman"/>
          <w:color w:val="0000ED"/>
          <w:sz w:val="26"/>
          <w:szCs w:val="26"/>
          <w:lang w:eastAsia="ru-RU"/>
        </w:rPr>
        <w:t xml:space="preserve">статья 110 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АПК РФ).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Рассматривая вопрос о разумности и соразмерности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заявленнои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истцом суммы,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затраченнои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на оплату услуг представителя в размере сумма, суд находит ее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завышеннои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̆, поскольку она несоразмерна сложности дела и объему участия представителя в рассмотрении данного дела. Таким образом, суд считает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соответствующеи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разумности и соразмерности сумму в размере сумма. Судебные расходы в указанном размере подтверждены документально и соразмерны.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 соответствии с требованиями ст. 103 ГПК РФ, 333.19 ч.1 п. 3 НК РФ, ст. 333.36 ч. 2 п. 4 НК РФ с ответчика наименование организации в бюджет адрес надлежит взыскать государственную пошлину пропорционально удовлетворенным требованиям в размере сумма (с учетом требования неимущественного характера), поскольку истец в силу вышеуказанных норм права освобожден от уплаты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государственнои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 пошлины при подаче иска о защите прав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потребителеи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̆.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На основании изложенного, руководствуясь ст. 199, 233-235 ГПК РФ, суд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" w:eastAsia="Times New Roman" w:hAnsi="TimesNewRomanPS" w:cs="Times New Roman"/>
          <w:b/>
          <w:bCs/>
          <w:sz w:val="26"/>
          <w:szCs w:val="26"/>
          <w:lang w:eastAsia="ru-RU"/>
        </w:rPr>
        <w:t>РЕШИЛ: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Исковые требования удовлетворить частично. </w:t>
      </w:r>
    </w:p>
    <w:p w:rsid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NewRomanPSMT" w:eastAsia="Times New Roman" w:hAnsi="TimesNewRomanPSMT" w:cs="Times New Roman"/>
          <w:sz w:val="26"/>
          <w:szCs w:val="26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Расторгнуть договоры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15.08.2018-7099 </w:t>
      </w:r>
      <w:proofErr w:type="gram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от дата</w:t>
      </w:r>
      <w:proofErr w:type="gram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No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13.09.2018-7279 от дата об оказании юридических услуг, заключенные между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и наименование организации.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Взыскать с наименование организации в пользу </w:t>
      </w:r>
      <w:proofErr w:type="spellStart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>фио</w:t>
      </w:r>
      <w:proofErr w:type="spellEnd"/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 уплаченные по договорам денежные средства в размере сумма, компенсацию морального вреда в размере сумма, штраф в размере сумма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Взыскать с наименование организации в доход бюджета адрес государственную пошлину в размере сумма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" w:eastAsia="Times New Roman" w:hAnsi="TimesNewRomanPS" w:cs="Times New Roman"/>
          <w:sz w:val="26"/>
          <w:szCs w:val="26"/>
          <w:lang w:eastAsia="ru-RU"/>
        </w:rPr>
        <w:t xml:space="preserve">Ответчик вправе подать в суд, </w:t>
      </w:r>
      <w:proofErr w:type="spellStart"/>
      <w:r w:rsidRPr="000951E9">
        <w:rPr>
          <w:rFonts w:ascii="TimesNewRomanPS" w:eastAsia="Times New Roman" w:hAnsi="TimesNewRomanPS" w:cs="Times New Roman"/>
          <w:sz w:val="26"/>
          <w:szCs w:val="26"/>
          <w:lang w:eastAsia="ru-RU"/>
        </w:rPr>
        <w:t>принявшии</w:t>
      </w:r>
      <w:proofErr w:type="spellEnd"/>
      <w:r w:rsidRPr="000951E9">
        <w:rPr>
          <w:rFonts w:ascii="TimesNewRomanPS" w:eastAsia="Times New Roman" w:hAnsi="TimesNewRomanPS" w:cs="Times New Roman"/>
          <w:sz w:val="26"/>
          <w:szCs w:val="26"/>
          <w:lang w:eastAsia="ru-RU"/>
        </w:rPr>
        <w:t xml:space="preserve">̆ заочное решение, заявление об отмене этого решения суда в течение семи </w:t>
      </w:r>
      <w:proofErr w:type="spellStart"/>
      <w:r w:rsidRPr="000951E9">
        <w:rPr>
          <w:rFonts w:ascii="TimesNewRomanPS" w:eastAsia="Times New Roman" w:hAnsi="TimesNewRomanPS" w:cs="Times New Roman"/>
          <w:sz w:val="26"/>
          <w:szCs w:val="26"/>
          <w:lang w:eastAsia="ru-RU"/>
        </w:rPr>
        <w:t>днеи</w:t>
      </w:r>
      <w:proofErr w:type="spellEnd"/>
      <w:r w:rsidRPr="000951E9">
        <w:rPr>
          <w:rFonts w:ascii="TimesNewRomanPS" w:eastAsia="Times New Roman" w:hAnsi="TimesNewRomanPS" w:cs="Times New Roman"/>
          <w:sz w:val="26"/>
          <w:szCs w:val="26"/>
          <w:lang w:eastAsia="ru-RU"/>
        </w:rPr>
        <w:t xml:space="preserve">̆ со дня вручения ему копии этого решения.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t xml:space="preserve">Заочное решение суда может быть обжаловано сторонами также в апелляционном порядке в течение месяца по истечении срока подачи ответчиком заявления об отмене этого решения суда, а в случае, если такое заявление подано, - в течение месяца со дня вынесения определения суда об отказе в удовлетворении этого заявления. </w:t>
      </w:r>
    </w:p>
    <w:p w:rsidR="000951E9" w:rsidRPr="000951E9" w:rsidRDefault="000951E9" w:rsidP="00174B5C">
      <w:pPr>
        <w:shd w:val="clear" w:color="auto" w:fill="FFFFFF"/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lang w:eastAsia="ru-RU"/>
        </w:rPr>
      </w:pP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lastRenderedPageBreak/>
        <w:t>Судья</w:t>
      </w:r>
      <w:r w:rsidRPr="000951E9">
        <w:rPr>
          <w:rFonts w:ascii="TimesNewRomanPSMT" w:eastAsia="Times New Roman" w:hAnsi="TimesNewRomanPSMT" w:cs="Times New Roman"/>
          <w:sz w:val="26"/>
          <w:szCs w:val="26"/>
          <w:lang w:eastAsia="ru-RU"/>
        </w:rPr>
        <w:br/>
        <w:t xml:space="preserve">Мотивированное решение изготовлено дата </w:t>
      </w:r>
    </w:p>
    <w:p w:rsidR="00285496" w:rsidRDefault="00285496" w:rsidP="00174B5C">
      <w:pPr>
        <w:jc w:val="both"/>
      </w:pPr>
    </w:p>
    <w:sectPr w:rsidR="00285496" w:rsidSect="000F4E3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NewRomanPS">
    <w:altName w:val="Times New Roman"/>
    <w:panose1 w:val="020B0604020202020204"/>
    <w:charset w:val="00"/>
    <w:family w:val="roman"/>
    <w:notTrueType/>
    <w:pitch w:val="default"/>
  </w:font>
  <w:font w:name="TimesNewRomanPSMT">
    <w:altName w:val="Times New Roman"/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51E9"/>
    <w:rsid w:val="0005675B"/>
    <w:rsid w:val="000951E9"/>
    <w:rsid w:val="000F4E36"/>
    <w:rsid w:val="00174B5C"/>
    <w:rsid w:val="00285496"/>
    <w:rsid w:val="00FE0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8C9C5"/>
  <w15:chartTrackingRefBased/>
  <w15:docId w15:val="{FD1BB77A-3F09-C743-90BC-498EAC444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51E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2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3904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3743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4164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844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3032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9264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3806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1871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966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2109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82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21495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988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97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75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2241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31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805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7365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1891</Words>
  <Characters>10783</Characters>
  <Application>Microsoft Office Word</Application>
  <DocSecurity>0</DocSecurity>
  <Lines>89</Lines>
  <Paragraphs>25</Paragraphs>
  <ScaleCrop>false</ScaleCrop>
  <Company/>
  <LinksUpToDate>false</LinksUpToDate>
  <CharactersWithSpaces>12649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Королева</dc:creator>
  <cp:keywords/>
  <dc:description/>
  <cp:lastModifiedBy>Светлана Королева</cp:lastModifiedBy>
  <cp:revision>2</cp:revision>
  <dcterms:created xsi:type="dcterms:W3CDTF">2019-09-07T07:37:00Z</dcterms:created>
  <dcterms:modified xsi:type="dcterms:W3CDTF">2019-09-07T07:39:00Z</dcterms:modified>
</cp:coreProperties>
</file>