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71F8" w14:textId="3F0A7261" w:rsidR="008337C4" w:rsidRPr="008337C4" w:rsidRDefault="008337C4" w:rsidP="00406BA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32"/>
          <w:szCs w:val="32"/>
          <w:lang w:eastAsia="ru-RU"/>
        </w:rPr>
        <w:t xml:space="preserve">Именем </w:t>
      </w:r>
      <w:proofErr w:type="spellStart"/>
      <w:r w:rsidRPr="008337C4">
        <w:rPr>
          <w:rFonts w:ascii="Times New Roman" w:hAnsi="Times New Roman" w:cs="Times New Roman"/>
          <w:sz w:val="32"/>
          <w:szCs w:val="32"/>
          <w:lang w:eastAsia="ru-RU"/>
        </w:rPr>
        <w:t>Российскои</w:t>
      </w:r>
      <w:proofErr w:type="spellEnd"/>
      <w:r w:rsidRPr="008337C4">
        <w:rPr>
          <w:rFonts w:ascii="Times New Roman" w:hAnsi="Times New Roman" w:cs="Times New Roman"/>
          <w:sz w:val="32"/>
          <w:szCs w:val="32"/>
          <w:lang w:eastAsia="ru-RU"/>
        </w:rPr>
        <w:t>̆ Федерации</w:t>
      </w:r>
    </w:p>
    <w:p w14:paraId="1A4403BF" w14:textId="0ED2D1A7" w:rsidR="008337C4" w:rsidRPr="008337C4" w:rsidRDefault="008337C4" w:rsidP="00406BA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,Bold" w:hAnsi="Times New Roman,Bold" w:cs="Times New Roman"/>
          <w:sz w:val="32"/>
          <w:szCs w:val="32"/>
          <w:lang w:eastAsia="ru-RU"/>
        </w:rPr>
        <w:t>РЕШЕНИЕ</w:t>
      </w:r>
    </w:p>
    <w:p w14:paraId="6324C077" w14:textId="77777777" w:rsidR="000C134C" w:rsidRDefault="008337C4" w:rsidP="008337C4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г. Москва Дело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А40-20281/2016-93-167 </w:t>
      </w:r>
    </w:p>
    <w:p w14:paraId="3E508942" w14:textId="13F88EFE" w:rsidR="008337C4" w:rsidRPr="008337C4" w:rsidRDefault="008337C4" w:rsidP="008337C4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31 мая 2016 года </w:t>
      </w:r>
    </w:p>
    <w:tbl>
      <w:tblPr>
        <w:tblW w:w="9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9"/>
      </w:tblGrid>
      <w:tr w:rsidR="008337C4" w:rsidRPr="008337C4" w14:paraId="6B422494" w14:textId="77777777" w:rsidTr="00406BA5">
        <w:trPr>
          <w:trHeight w:val="2219"/>
        </w:trPr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AE7EC5" w14:textId="3F40605B" w:rsidR="008337C4" w:rsidRPr="008337C4" w:rsidRDefault="008337C4" w:rsidP="00406BA5">
            <w:pPr>
              <w:spacing w:before="100" w:beforeAutospacing="1" w:after="100" w:afterAutospacing="1"/>
              <w:divId w:val="45777027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Арбитражныи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̆ суд города Москвы в составе:</w:t>
            </w:r>
            <w:r w:rsidRPr="008337C4">
              <w:rPr>
                <w:rFonts w:ascii="MingLiU" w:eastAsia="MingLiU" w:hAnsi="MingLiU" w:cs="MingLiU"/>
                <w:sz w:val="26"/>
                <w:szCs w:val="26"/>
                <w:lang w:eastAsia="ru-RU"/>
              </w:rPr>
              <w:br/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Судьи Позднякова В.Д.</w:t>
            </w:r>
            <w:r w:rsidRPr="008337C4">
              <w:rPr>
                <w:rFonts w:ascii="MingLiU" w:eastAsia="MingLiU" w:hAnsi="MingLiU" w:cs="MingLiU"/>
                <w:sz w:val="26"/>
                <w:szCs w:val="26"/>
                <w:lang w:eastAsia="ru-RU"/>
              </w:rPr>
              <w:br/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 ведении протокола судебного заседания секретарем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Шувариковым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  <w:r w:rsidRPr="008337C4">
              <w:rPr>
                <w:rFonts w:ascii="MingLiU" w:eastAsia="MingLiU" w:hAnsi="MingLiU" w:cs="MingLiU"/>
                <w:sz w:val="26"/>
                <w:szCs w:val="26"/>
                <w:lang w:eastAsia="ru-RU"/>
              </w:rPr>
              <w:br/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использованием средств аудиозаписи в ходе судебного заседания.</w:t>
            </w:r>
            <w:r w:rsidRPr="008337C4">
              <w:rPr>
                <w:rFonts w:ascii="MingLiU" w:eastAsia="MingLiU" w:hAnsi="MingLiU" w:cs="MingLiU"/>
                <w:sz w:val="26"/>
                <w:szCs w:val="26"/>
                <w:lang w:eastAsia="ru-RU"/>
              </w:rPr>
              <w:br/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рассмотрев в открытом судебном заседании дело</w:t>
            </w:r>
            <w:r w:rsidRPr="008337C4">
              <w:rPr>
                <w:rFonts w:ascii="MingLiU" w:eastAsia="MingLiU" w:hAnsi="MingLiU" w:cs="MingLiU"/>
                <w:sz w:val="26"/>
                <w:szCs w:val="26"/>
                <w:lang w:eastAsia="ru-RU"/>
              </w:rPr>
              <w:br/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заявлению ООО «</w:t>
            </w:r>
            <w:r w:rsidR="00406B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«К-Ж» </w:t>
            </w:r>
            <w:r w:rsidRPr="008337C4">
              <w:rPr>
                <w:rFonts w:ascii="MingLiU" w:eastAsia="MingLiU" w:hAnsi="MingLiU" w:cs="MingLiU"/>
                <w:sz w:val="26"/>
                <w:szCs w:val="26"/>
                <w:lang w:eastAsia="ru-RU"/>
              </w:rPr>
              <w:br/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 ФГБУ «ФКП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Росрееста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8337C4">
              <w:rPr>
                <w:rFonts w:ascii="MingLiU" w:eastAsia="MingLiU" w:hAnsi="MingLiU" w:cs="MingLiU"/>
                <w:sz w:val="26"/>
                <w:szCs w:val="26"/>
                <w:lang w:eastAsia="ru-RU"/>
              </w:rPr>
              <w:br/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3-е лицо: ГБУ г. Москвы Московское городское бюро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техническои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инвентаризации </w:t>
            </w:r>
          </w:p>
        </w:tc>
      </w:tr>
      <w:tr w:rsidR="008337C4" w:rsidRPr="008337C4" w14:paraId="2C24A446" w14:textId="77777777" w:rsidTr="00406BA5">
        <w:trPr>
          <w:trHeight w:val="13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8902A50" w14:textId="093BE1B9" w:rsidR="000C134C" w:rsidRDefault="008337C4" w:rsidP="008337C4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признании незаконными решения от 04.12.2015.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No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77/601/15-89054 при участии:</w:t>
            </w:r>
            <w:r w:rsidRPr="008337C4">
              <w:rPr>
                <w:rFonts w:ascii="MingLiU" w:eastAsia="MingLiU" w:hAnsi="MingLiU" w:cs="MingLiU"/>
                <w:sz w:val="26"/>
                <w:szCs w:val="26"/>
                <w:lang w:eastAsia="ru-RU"/>
              </w:rPr>
              <w:br/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заявителя – </w:t>
            </w:r>
            <w:r w:rsidR="00B4163E" w:rsidRPr="005738CE">
              <w:rPr>
                <w:rFonts w:ascii="Times New Roman" w:hAnsi="Times New Roman" w:cs="Times New Roman"/>
                <w:b/>
                <w:color w:val="262626"/>
              </w:rPr>
              <w:t>адвокат</w:t>
            </w:r>
            <w:r w:rsidR="00B4163E">
              <w:rPr>
                <w:rFonts w:ascii="Times New Roman" w:hAnsi="Times New Roman" w:cs="Times New Roman"/>
                <w:b/>
                <w:color w:val="262626"/>
              </w:rPr>
              <w:t xml:space="preserve"> КАМ «</w:t>
            </w:r>
            <w:proofErr w:type="spellStart"/>
            <w:r w:rsidR="00B4163E">
              <w:rPr>
                <w:rFonts w:ascii="Times New Roman" w:hAnsi="Times New Roman" w:cs="Times New Roman"/>
                <w:b/>
                <w:color w:val="262626"/>
              </w:rPr>
              <w:t>ЮрПрофи</w:t>
            </w:r>
            <w:proofErr w:type="spellEnd"/>
            <w:r w:rsidR="00B4163E">
              <w:rPr>
                <w:rFonts w:ascii="Times New Roman" w:hAnsi="Times New Roman" w:cs="Times New Roman"/>
                <w:b/>
                <w:color w:val="262626"/>
              </w:rPr>
              <w:t>»</w:t>
            </w:r>
            <w:r w:rsidRPr="008337C4">
              <w:rPr>
                <w:rFonts w:ascii="MingLiU" w:eastAsia="MingLiU" w:hAnsi="MingLiU" w:cs="MingLiU"/>
                <w:sz w:val="26"/>
                <w:szCs w:val="26"/>
                <w:lang w:eastAsia="ru-RU"/>
              </w:rPr>
              <w:br/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ответчика – не явился, извещен </w:t>
            </w:r>
          </w:p>
          <w:p w14:paraId="15F326D0" w14:textId="5DB414A1" w:rsidR="008337C4" w:rsidRPr="008337C4" w:rsidRDefault="008337C4" w:rsidP="008337C4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третьего лица – не явился, извещен </w:t>
            </w:r>
          </w:p>
        </w:tc>
      </w:tr>
    </w:tbl>
    <w:p w14:paraId="14BED970" w14:textId="60884EF6" w:rsidR="008337C4" w:rsidRPr="008337C4" w:rsidRDefault="008337C4" w:rsidP="000C134C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,Bold" w:hAnsi="Times New Roman,Bold" w:cs="Times New Roman"/>
          <w:sz w:val="26"/>
          <w:szCs w:val="26"/>
          <w:lang w:eastAsia="ru-RU"/>
        </w:rPr>
        <w:t>У С Т А Н О В И Л:</w:t>
      </w:r>
    </w:p>
    <w:p w14:paraId="1B426190" w14:textId="277E416E" w:rsidR="000C134C" w:rsidRDefault="000C134C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>ООО «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«К-Ж» обратилось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Арбитражныи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>̆ суд г. Москвы с заявлением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о признании незаконным решения филиала ФГБУ «ФКП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Росрееетра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» по Москве от 04.12.2015.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77/601/15- 89054 об отказе в исправлении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 в кадастровых сведениях объекта недвижимости с кадастровым номером </w:t>
      </w:r>
      <w:r>
        <w:rPr>
          <w:rFonts w:ascii="Times New Roman" w:hAnsi="Times New Roman" w:cs="Times New Roman"/>
          <w:sz w:val="26"/>
          <w:szCs w:val="26"/>
          <w:lang w:eastAsia="ru-RU"/>
        </w:rPr>
        <w:t>,,,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8A86684" w14:textId="5CA5A0F6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В обоснование требований заявитель ссылается на то, что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ошибкои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является ошибка в государственном кадастре недвижимости, которая заключается в несоответствии сведений внесенных в кадастр, сведениям в документах, на основании которых вносились сведения в кадастр. </w:t>
      </w:r>
    </w:p>
    <w:p w14:paraId="6F71C512" w14:textId="209F59B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В судебном заседании представитель заявителя </w:t>
      </w:r>
      <w:r w:rsidR="00B4163E" w:rsidRPr="005738CE">
        <w:rPr>
          <w:rFonts w:ascii="Times New Roman" w:hAnsi="Times New Roman" w:cs="Times New Roman"/>
          <w:b/>
          <w:color w:val="262626"/>
        </w:rPr>
        <w:t>адвокат</w:t>
      </w:r>
      <w:r w:rsidR="00B4163E">
        <w:rPr>
          <w:rFonts w:ascii="Times New Roman" w:hAnsi="Times New Roman" w:cs="Times New Roman"/>
          <w:b/>
          <w:color w:val="262626"/>
        </w:rPr>
        <w:t xml:space="preserve"> КАМ «</w:t>
      </w:r>
      <w:proofErr w:type="spellStart"/>
      <w:r w:rsidR="00B4163E">
        <w:rPr>
          <w:rFonts w:ascii="Times New Roman" w:hAnsi="Times New Roman" w:cs="Times New Roman"/>
          <w:b/>
          <w:color w:val="262626"/>
        </w:rPr>
        <w:t>ЮрПрофи</w:t>
      </w:r>
      <w:proofErr w:type="spellEnd"/>
      <w:r w:rsidR="00B4163E">
        <w:rPr>
          <w:rFonts w:ascii="Times New Roman" w:hAnsi="Times New Roman" w:cs="Times New Roman"/>
          <w:b/>
          <w:color w:val="262626"/>
        </w:rPr>
        <w:t>»</w:t>
      </w:r>
      <w:r w:rsidR="00B4163E">
        <w:rPr>
          <w:rFonts w:ascii="Times New Roman" w:hAnsi="Times New Roman" w:cs="Times New Roman"/>
          <w:b/>
          <w:color w:val="262626"/>
        </w:rPr>
        <w:t xml:space="preserve"> </w:t>
      </w:r>
      <w:bookmarkStart w:id="0" w:name="_GoBack"/>
      <w:bookmarkEnd w:id="0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поддержал заявленные требования. </w:t>
      </w:r>
    </w:p>
    <w:p w14:paraId="7AA22BC3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ФГБУ «ФКП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Росрееста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», ГБУ г. Москвы Московское городское бюро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инвентаризации, извещенные надлежащим образом о дате, месте, времени проведения судебного разбирательства, в судебное заседание не явились. Дело рассмотрено в отсутствие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представителеи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ответчика и третьего лица в соответствии со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. 123, 156 АПК РФ. </w:t>
      </w:r>
    </w:p>
    <w:p w14:paraId="0B82EEA7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Изучив материалы дела, выслушав представителя заявителя, исследовав имеющиеся в материалах дела доказательства, проверив все доводы заявления, суд считает заявленные требования подлежащими удовлетворению по следующим основаниям. </w:t>
      </w:r>
    </w:p>
    <w:p w14:paraId="390A39A9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с ч.1 ст. 198 АПК РФ граждане, организации и иные лица вправе обратиться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арбитражныи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суд с заявлением о признании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недействительными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ненормативных правовых актов, незаконными решений 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действии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>̆ (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бездействия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) органов, осуществляющих публичные полномочия, должностных лиц, если полагают, что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оспариваемыи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ненормативныи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правовои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акт, решение 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действие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бездействие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) не соответствуют закону или иному нормативному правовому акту и нарушают их права и законные интересы в сфере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предпринимательскои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инои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экономическои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деятельности, незаконно возлагают на них какие-либо обязанности, создают иные препятствия для осуществления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предпринимательскои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инои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экономическои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деятельности. </w:t>
      </w:r>
    </w:p>
    <w:p w14:paraId="5852DCB0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Установленныи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ч.4 ст. 198 АПК РФ срок на обжалование оспариваемых решения и предписания заявителем не пропущен. </w:t>
      </w:r>
    </w:p>
    <w:p w14:paraId="7657DE12" w14:textId="08FB15C1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>Как следует из материалов дела, ЗАО «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«К-Ж», является собственником нежилого помещения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общеи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площадью 1 265,8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. с кадастровым номером 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,,,,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, расположенного по адресу: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г.Москва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>, просп.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, д…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. (Свидетельство 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регистрации права 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от 14.01.2015 г.). </w:t>
      </w:r>
    </w:p>
    <w:p w14:paraId="23EF57D8" w14:textId="724CF850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Данныи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>̆ объект недвижимости ЗАО «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«К-Ж» приобрело у ЗАО «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» согласно договора купли- продажи недвижимости от 19.04.2002 г. </w:t>
      </w:r>
    </w:p>
    <w:p w14:paraId="3009C453" w14:textId="64670D44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>18.05.2002 г. за ЗАО «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«К- Ж» было зарегистрировано право собственности на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указанныи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объект недвижимости с кадастровым номером 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…..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условныи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номер: 37948 - свидетельство 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регистрации права 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…..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от 18.05.2002 г. </w:t>
      </w:r>
    </w:p>
    <w:p w14:paraId="01BD693E" w14:textId="4CD1732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>12.08.2014 г. в отношении ЗАО «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«К-Ж» была внесена запись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Единыи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>̆ реестр юридических лиц о реорганизации в форме преобразования в ООО «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«К-Ж». </w:t>
      </w:r>
    </w:p>
    <w:p w14:paraId="5A7B0EC4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поэтажным планом, составленным 08.05.2008 г. территориальным бюро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инвентаризации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г.Москвы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Западное No2, на третьем этаже здания, расположенного по обозначенному адресу, зафиксированы кабинеты No14а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общеи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площадью 26,7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. и No14б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общеи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площадью 8,8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3DF26B98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Однако, согласно поэтажного плана, составленного 05.10.2011 г., в плане третьего этажа имеется графическое изображение названных кабинетов, но отсутствует их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порядковыи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номер и размер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общеи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площади, то есть об этих помещениях отсутствуют данные в государственном кадастре недвижимости. </w:t>
      </w:r>
    </w:p>
    <w:p w14:paraId="18167067" w14:textId="78A37C1E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В договоре купли-продажи недвижимости от 19.04.2002 г., свидетельстве от 18.05.2002 г., поэтажном плане ТБТИ Западное No2, составленном 08.05.2008 г. имеется комната No13, но в государственном кадастре недвижимости отсутствуют сведения об этом помещении. </w:t>
      </w:r>
    </w:p>
    <w:p w14:paraId="2FE2CC27" w14:textId="762E8D36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В договоре купли-продажи недвижимости от 19.04.2002 г., свидетельстве от 18.05.2002 г., поэтажном плане ТБТИ Западное No2, составленном 08.05.2008 г. имеется мансарда, но в государственном кадастре недвижимости она указана как чердак. </w:t>
      </w:r>
    </w:p>
    <w:p w14:paraId="60490FD2" w14:textId="72EC359E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Решением филиала ФГБУ «ФКП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» по Москве No77/601/15-89054 от 04.12.2015 отказано в исправлении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 в кадастровых сведениях, ссылаясь на отсутствие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ошибки,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допущеннои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в государственном кадастре недвижимости. </w:t>
      </w:r>
    </w:p>
    <w:p w14:paraId="6DF0E798" w14:textId="433EAEF6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>Не согласившись с принятым решением АО «</w:t>
      </w:r>
      <w:r w:rsidR="000C134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«К-Ж» обратилось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арбитражныи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суд с настоящим заявлением. </w:t>
      </w:r>
    </w:p>
    <w:p w14:paraId="4DF1992B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частью 1 статьи 28 Закона о государственном кадастре ошибками в государственном кадастре недвижимости являются: 1) техническая ошибка (описка, опечатка, грамматическая или арифметическая ошибка либо подобная ошибка), допущенная органом кадастрового учета при ведении государственного кадастра недвижимости и приведшая к несоответствию сведений, внесенных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кадастр недвижимости, сведениям в документах, на основании которых вносились сведения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кадастр недвижимости; 2) воспроизведенная в государственном кадастре недвижимости ошибка в документе, на основании которого вносились сведения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кадастр недвижимости (далее - кадастровая ошибка в сведениях). </w:t>
      </w:r>
    </w:p>
    <w:p w14:paraId="488DF6A4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части 4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даннои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статьи кадастровая ошибка в сведениях подлежит исправлению в порядке, установленном для учета изменений соответствующего объекта недвижимости (если документами, которые содержат такую ошибку и на основании которых внесены сведения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кадастр недвижимости, являются документы, представленные в соответствии со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статьеи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22 закона), или в порядке информационного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взаимодействия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(если документами, которые содержат такую ошибку и на основании которых внесены сведения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кадастр недвижимости, являются документы, поступившие в орган кадастрового учета в порядке информационного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взаимодействия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) либо на основании вступившего в законную силу решения суда об исправлении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такои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ошибки. </w:t>
      </w:r>
    </w:p>
    <w:p w14:paraId="093BBA43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Из изложенного следует, что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ошибкои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является ошибка в государственном кадастре недвижимости, которая заключается в несоответствии сведений внесенных в кадастр, сведениям в документах, на основании которых вносились сведения в кадастр. </w:t>
      </w:r>
    </w:p>
    <w:p w14:paraId="53655728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п. 19, 35 Порядка ведения кадастра при выполнении кадастровых процедур, связанных с исправлением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 в кадастровых сведениях на основании заявления заинтересованного в исправлении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такои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 лица, в соответствии с пунктом 35 Порядка принимается решение об отказе в исправлении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ошибки. Основанием для принятия решения об отказе в исправлении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 в кадастровых сведениях на основании заявления заинтересованного в исправлении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такои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 лица является отсутствие противоречий между сведениями Реестра и сведениями, содержащимися в документах кадастрового дела (документах, на основании которых такие сведения вносились в Реестр). </w:t>
      </w:r>
    </w:p>
    <w:p w14:paraId="71CD89EC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В силу части 3 статьи 13 Федерального закона от 24.07.2007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221-ФЗ «О государственном кадастре недвижимости» сведения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кадастр недвижимости вносятся на основании совокупности скомплектованных и систематизированных документов, образующих кадастровые дела. </w:t>
      </w:r>
    </w:p>
    <w:p w14:paraId="75310E41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Пунктом 5 статьи 4 Закона о кадастре установлено, что сведения вносятся в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кадастр недвижимости органом кадастрового учета на основании поступивших в этот орган в установленном настоящим Федеральным законом порядке документов. </w:t>
      </w:r>
    </w:p>
    <w:p w14:paraId="6F413C28" w14:textId="5E369359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Однако, филиал ФГБУ «ФКП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» по Москве в нарушение ч.2 ст.28 Закона о ГКН не выполнил установленную законом обязанность по проверке информации,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содержащейся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в заявлении об исправлении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ошибки, что привело к необоснованному выводу об отсутствии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такои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 и неправомерному отказу заявителю в ее исправлении. </w:t>
      </w:r>
    </w:p>
    <w:p w14:paraId="34ADCCD5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Ответчиком не представлены доказательства, с достоверностью подтверждающие отсутствие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техническои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ошибки в данных кадастрового учета. </w:t>
      </w:r>
    </w:p>
    <w:p w14:paraId="0A97DC6D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ч. 2 ст. 201 АПК РФ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арбитражныи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суд, установив, что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оспариваемыи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ненормативныи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правовои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акт, решение 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действия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бездействие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предпринимательскои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инои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экономическои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деятельности, принимает решение о признании ненормативного правового акта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недействительным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, решений и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действии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>̆ (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бездействия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) незаконными. </w:t>
      </w:r>
    </w:p>
    <w:p w14:paraId="7EEFFB4A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Учитывая, что решение по данному делу принято в пользу заявителя, в соответствии со ст. 110 АПК РФ расходы по </w:t>
      </w:r>
      <w:proofErr w:type="spellStart"/>
      <w:r w:rsidRPr="008337C4">
        <w:rPr>
          <w:rFonts w:ascii="Times New Roman" w:hAnsi="Times New Roman" w:cs="Times New Roman"/>
          <w:sz w:val="26"/>
          <w:szCs w:val="26"/>
          <w:lang w:eastAsia="ru-RU"/>
        </w:rPr>
        <w:t>государственнои</w:t>
      </w:r>
      <w:proofErr w:type="spellEnd"/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̆ пошлине взыскиваются с ответчика в пользу заявителя, поскольку законодательством не предусмотрено освобождение государственных или муниципальных органов от возмещения судебных расходов в случае, если решение принято не в их пользу (п.21 Постановление Пленума ВАС РФ от 11.07.2014 No46). </w:t>
      </w:r>
    </w:p>
    <w:p w14:paraId="578840D7" w14:textId="77777777" w:rsidR="008337C4" w:rsidRPr="008337C4" w:rsidRDefault="008337C4" w:rsidP="000C134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65, 66, 71, 110, 167-170, 176, 198, 200, 201 АПК РФ, суд </w:t>
      </w:r>
    </w:p>
    <w:p w14:paraId="212C54CB" w14:textId="6EBFA674" w:rsidR="008337C4" w:rsidRPr="008337C4" w:rsidRDefault="008337C4" w:rsidP="000C134C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8337C4">
        <w:rPr>
          <w:rFonts w:ascii="Times New Roman,Bold" w:hAnsi="Times New Roman,Bold" w:cs="Times New Roman"/>
          <w:sz w:val="26"/>
          <w:szCs w:val="26"/>
          <w:lang w:eastAsia="ru-RU"/>
        </w:rPr>
        <w:t>РЕШИЛ: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3"/>
      </w:tblGrid>
      <w:tr w:rsidR="008337C4" w:rsidRPr="008337C4" w14:paraId="7BD9CD07" w14:textId="77777777" w:rsidTr="008337C4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CBDBDAC" w14:textId="42CE1C44" w:rsidR="008337C4" w:rsidRPr="008337C4" w:rsidRDefault="008337C4" w:rsidP="000C134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Признать незаконным решение Филиала ФГБУ «ФКП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Росрееетра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по Москве от 04.12.2015.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No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77/601/15-89054 об отказе в исправлении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техническои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ошибки в кадастровых сведениях объекта недвижимости с кадастровым номером </w:t>
            </w:r>
            <w:r w:rsidR="000C13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14:paraId="562245BA" w14:textId="77777777" w:rsidR="008337C4" w:rsidRPr="008337C4" w:rsidRDefault="008337C4" w:rsidP="000C134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Обязать Филиал ФГБУ «ФКП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Росреестра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по Москве устранить допущенные </w:t>
            </w:r>
          </w:p>
        </w:tc>
      </w:tr>
      <w:tr w:rsidR="008337C4" w:rsidRPr="008337C4" w14:paraId="0D79891A" w14:textId="77777777" w:rsidTr="008337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1AF6F3D" w14:textId="77777777" w:rsidR="009110BD" w:rsidRDefault="008337C4" w:rsidP="000C134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нарушения прав заявителя в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месячныи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срок после вступления в законную силу решения путем исправления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техническои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ошибки в сведениях государственного кадастра недвижимости о нежилых помещениях: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No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14а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площадью 26,7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No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14б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площадью 8,8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No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13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площадью 13,2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No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14в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площадью 2,2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No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14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площадью 15.9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на третьем этаже здания, No4 в мансарде, расположенных по адресу: г. Москва,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0C13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.и</w:t>
            </w:r>
            <w:proofErr w:type="spellEnd"/>
            <w:r w:rsidR="000C13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̆ пр-т, д…</w:t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кадастровым номером </w:t>
            </w:r>
            <w:r w:rsidR="000C13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….</w:t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14:paraId="033B7891" w14:textId="224B5C0E" w:rsidR="008337C4" w:rsidRPr="008337C4" w:rsidRDefault="008337C4" w:rsidP="000C134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Проверено на соответствие Федеральному закону «О государственном кадастре недвижимости». </w:t>
            </w:r>
          </w:p>
          <w:p w14:paraId="1B8D0EB2" w14:textId="77777777" w:rsidR="008337C4" w:rsidRPr="008337C4" w:rsidRDefault="008337C4" w:rsidP="000C134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Взыскать с Федерального государственного бюджетного учреждения «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Федеральнои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кадастровои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палаты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Федеральнои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службы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государственнои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регистрации, кадастра и картографии» (ОГРН 1027700485757) в пользу Общества с </w:t>
            </w:r>
          </w:p>
        </w:tc>
      </w:tr>
      <w:tr w:rsidR="008337C4" w:rsidRPr="008337C4" w14:paraId="0E60EA0A" w14:textId="77777777" w:rsidTr="008337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A8D6B09" w14:textId="34CDEA77" w:rsidR="008337C4" w:rsidRPr="008337C4" w:rsidRDefault="008337C4" w:rsidP="000C134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ограниченнои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̆ ответственностью «</w:t>
            </w:r>
            <w:r w:rsidR="009110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«К-Ж»  расходы по уплате госпошлины в размере 3000 (три тысячи) руб. </w:t>
            </w:r>
          </w:p>
          <w:p w14:paraId="6E5001C6" w14:textId="77777777" w:rsidR="008337C4" w:rsidRPr="008337C4" w:rsidRDefault="008337C4" w:rsidP="000C134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Решение может быть обжаловано в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месячныи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срок с даты его принятия (изготовления в полном объеме) в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Девятыи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арбитражныи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</w:t>
            </w:r>
            <w:proofErr w:type="spellStart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апелляционныи</w:t>
            </w:r>
            <w:proofErr w:type="spellEnd"/>
            <w:r w:rsidRPr="008337C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̆ суд. </w:t>
            </w:r>
          </w:p>
        </w:tc>
      </w:tr>
      <w:tr w:rsidR="008337C4" w:rsidRPr="008337C4" w14:paraId="79FB29F1" w14:textId="77777777" w:rsidTr="008337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6FF44B2" w14:textId="77777777" w:rsidR="008337C4" w:rsidRPr="008337C4" w:rsidRDefault="008337C4" w:rsidP="000C134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7C4">
              <w:rPr>
                <w:rFonts w:ascii="Times New Roman,Bold" w:hAnsi="Times New Roman,Bold" w:cs="Times New Roman"/>
                <w:sz w:val="26"/>
                <w:szCs w:val="26"/>
                <w:lang w:eastAsia="ru-RU"/>
              </w:rPr>
              <w:t xml:space="preserve">Судья </w:t>
            </w:r>
            <w:proofErr w:type="spellStart"/>
            <w:r w:rsidRPr="008337C4">
              <w:rPr>
                <w:rFonts w:ascii="Times New Roman,Bold" w:hAnsi="Times New Roman,Bold" w:cs="Times New Roman"/>
                <w:sz w:val="26"/>
                <w:szCs w:val="26"/>
                <w:lang w:eastAsia="ru-RU"/>
              </w:rPr>
              <w:t>В.Д.Поздняков</w:t>
            </w:r>
            <w:proofErr w:type="spellEnd"/>
            <w:r w:rsidRPr="008337C4">
              <w:rPr>
                <w:rFonts w:ascii="Times New Roman,Bold" w:hAnsi="Times New Roman,Bold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3384F51E" w14:textId="77777777" w:rsidR="006D059C" w:rsidRDefault="00B4163E" w:rsidP="000C134C">
      <w:pPr>
        <w:jc w:val="both"/>
      </w:pPr>
    </w:p>
    <w:sectPr w:rsidR="006D059C" w:rsidSect="008627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,Bold">
    <w:charset w:val="00"/>
    <w:family w:val="roman"/>
    <w:pitch w:val="variable"/>
    <w:sig w:usb0="00000003" w:usb1="00000000" w:usb2="00000000" w:usb3="00000000" w:csb0="00000001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C4"/>
    <w:rsid w:val="000C134C"/>
    <w:rsid w:val="001A5BEF"/>
    <w:rsid w:val="00406BA5"/>
    <w:rsid w:val="00737D7A"/>
    <w:rsid w:val="008337C4"/>
    <w:rsid w:val="0086273B"/>
    <w:rsid w:val="009110BD"/>
    <w:rsid w:val="00B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159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7C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6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1600</Words>
  <Characters>9120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dcterms:created xsi:type="dcterms:W3CDTF">2017-09-01T16:42:00Z</dcterms:created>
  <dcterms:modified xsi:type="dcterms:W3CDTF">2017-09-01T16:42:00Z</dcterms:modified>
</cp:coreProperties>
</file>