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5D" w:rsidRDefault="007A4D5D" w:rsidP="007A4D5D">
      <w:pPr>
        <w:pStyle w:val="a3"/>
        <w:spacing w:before="0" w:beforeAutospacing="0" w:after="0" w:afterAutospacing="0"/>
        <w:jc w:val="center"/>
      </w:pPr>
      <w:r>
        <w:rPr>
          <w:rFonts w:ascii="Times New Roman,Bold" w:hAnsi="Times New Roman,Bold"/>
          <w:sz w:val="28"/>
          <w:szCs w:val="28"/>
        </w:rPr>
        <w:t>АРБИТРАЖНЫЙ СУД ГОРОДА МОСКВЫ</w:t>
      </w:r>
    </w:p>
    <w:p w:rsidR="007A4D5D" w:rsidRDefault="007A4D5D" w:rsidP="007A4D5D">
      <w:pPr>
        <w:pStyle w:val="a3"/>
        <w:spacing w:before="0" w:beforeAutospacing="0" w:after="0" w:afterAutospacing="0"/>
        <w:jc w:val="center"/>
      </w:pPr>
      <w:r>
        <w:t xml:space="preserve">115191, </w:t>
      </w:r>
      <w:proofErr w:type="spellStart"/>
      <w:r>
        <w:t>г.Москва</w:t>
      </w:r>
      <w:proofErr w:type="spellEnd"/>
      <w:r>
        <w:t>, ул. Большая Тульская, д. 17</w:t>
      </w:r>
    </w:p>
    <w:p w:rsidR="007A4D5D" w:rsidRDefault="007A4D5D" w:rsidP="007A4D5D">
      <w:pPr>
        <w:pStyle w:val="a3"/>
        <w:spacing w:before="0" w:beforeAutospacing="0" w:after="0" w:afterAutospacing="0"/>
        <w:jc w:val="center"/>
      </w:pPr>
      <w:hyperlink r:id="rId4" w:history="1">
        <w:r w:rsidRPr="0044074C">
          <w:rPr>
            <w:rStyle w:val="a4"/>
          </w:rPr>
          <w:t>http://www.msk.arbitr.ru</w:t>
        </w:r>
      </w:hyperlink>
    </w:p>
    <w:p w:rsidR="007A4D5D" w:rsidRDefault="007A4D5D" w:rsidP="007A4D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Именем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>̆ Федерации</w:t>
      </w:r>
    </w:p>
    <w:p w:rsidR="007A4D5D" w:rsidRDefault="007A4D5D" w:rsidP="007A4D5D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РЕШЕНИЕ</w:t>
      </w:r>
    </w:p>
    <w:p w:rsidR="007A4D5D" w:rsidRDefault="007A4D5D" w:rsidP="007A4D5D">
      <w:pPr>
        <w:pStyle w:val="a3"/>
      </w:pPr>
      <w:r>
        <w:t xml:space="preserve">Дело NoА40-119557/19-77-989 </w:t>
      </w:r>
    </w:p>
    <w:p w:rsidR="007A4D5D" w:rsidRDefault="007A4D5D" w:rsidP="007A4D5D">
      <w:pPr>
        <w:pStyle w:val="a3"/>
      </w:pPr>
      <w:r>
        <w:t xml:space="preserve">Резолютивная часть решения объявлена 23 июля 2019г. </w:t>
      </w:r>
    </w:p>
    <w:p w:rsidR="007A4D5D" w:rsidRDefault="007A4D5D" w:rsidP="007A4D5D">
      <w:pPr>
        <w:pStyle w:val="a3"/>
      </w:pPr>
      <w:r>
        <w:t xml:space="preserve">Дата изготовления решения в полном объеме 30 июля 2019г. </w:t>
      </w:r>
    </w:p>
    <w:p w:rsidR="007A4D5D" w:rsidRDefault="007A4D5D" w:rsidP="007A4D5D">
      <w:pPr>
        <w:pStyle w:val="a3"/>
        <w:spacing w:before="0" w:beforeAutospacing="0" w:after="0" w:afterAutospacing="0"/>
      </w:pPr>
      <w:proofErr w:type="spellStart"/>
      <w:r>
        <w:t>Арбитражныи</w:t>
      </w:r>
      <w:proofErr w:type="spellEnd"/>
      <w:r>
        <w:t>̆ суд города Москвы в составе:</w:t>
      </w:r>
      <w:r>
        <w:br/>
        <w:t xml:space="preserve">председательствующего судьи: </w:t>
      </w:r>
      <w:proofErr w:type="spellStart"/>
      <w:r>
        <w:t>Романенковои</w:t>
      </w:r>
      <w:proofErr w:type="spellEnd"/>
      <w:r>
        <w:t>̆ С.В., единолично,</w:t>
      </w:r>
      <w:r>
        <w:br/>
        <w:t>при ведении протокола секретарем судебного заседания Сафроновым И.А.,</w:t>
      </w:r>
      <w:r>
        <w:br/>
        <w:t xml:space="preserve">с участием </w:t>
      </w:r>
      <w:proofErr w:type="spellStart"/>
      <w:r>
        <w:t>представителеи</w:t>
      </w:r>
      <w:proofErr w:type="spellEnd"/>
      <w:r>
        <w:t>̆:</w:t>
      </w:r>
      <w:r>
        <w:br/>
        <w:t xml:space="preserve">от истца: </w:t>
      </w:r>
      <w:r w:rsidRPr="007A4D5D">
        <w:rPr>
          <w:b/>
          <w:bCs/>
        </w:rPr>
        <w:t xml:space="preserve">адвокат </w:t>
      </w:r>
      <w:r w:rsidRPr="007A4D5D">
        <w:rPr>
          <w:b/>
          <w:bCs/>
        </w:rPr>
        <w:t>Королева С.О</w:t>
      </w:r>
      <w:r>
        <w:t xml:space="preserve">. (доверенность б/н от 16.11.2018г., удостоверение адвоката </w:t>
      </w:r>
      <w:proofErr w:type="spellStart"/>
      <w:r>
        <w:t>No</w:t>
      </w:r>
      <w:proofErr w:type="spellEnd"/>
      <w:r>
        <w:t xml:space="preserve"> 8600, выдано 07.09.2006г.),</w:t>
      </w:r>
      <w:r>
        <w:br/>
        <w:t xml:space="preserve">от ответчика: </w:t>
      </w:r>
      <w:proofErr w:type="spellStart"/>
      <w:r>
        <w:t>Шилин</w:t>
      </w:r>
      <w:proofErr w:type="spellEnd"/>
      <w:r>
        <w:t xml:space="preserve"> А.В. (доверенность </w:t>
      </w:r>
      <w:proofErr w:type="spellStart"/>
      <w:r>
        <w:t>No</w:t>
      </w:r>
      <w:proofErr w:type="spellEnd"/>
      <w:r>
        <w:t xml:space="preserve"> 71 от 04.02.2019г., сл. уд. </w:t>
      </w:r>
      <w:proofErr w:type="spellStart"/>
      <w:r>
        <w:t>No</w:t>
      </w:r>
      <w:proofErr w:type="spellEnd"/>
      <w:r>
        <w:t xml:space="preserve"> 634), рассмотрев в открытом судебном заседании дело по иску</w:t>
      </w:r>
      <w:r>
        <w:br/>
        <w:t>ОБЩЕСТВА С ОГРАНИЧЕННОЙ ОТВЕТСТВЕННОСТЬЮ "ИНТЕРФЛЕКСО М" (142184, МОСКОВСКАЯ ОБЛАСТЬ, ГОРОД ПОДОЛЬСК, УЛИЦА КОММУНАЛЬНАЯ (КЛИМОВСК МКР.), ДОМ 18, ОГРН: 1175074003763, Дата присвоения ОГРН: 13.03.2017, ИНН: 5074056776)</w:t>
      </w:r>
      <w:r>
        <w:br/>
        <w:t>к ответчику ДЕПАРТАМЕНТУ ФЕДЕРАЛЬНОЙ СЛУЖБЫ ПО НАДЗОРУ В СФЕРЕ ПРИРОДОПОЛЬЗОВАНИЯ ПО ЦЕНТРАЛЬНОМУ ФЕДЕРАЛЬНОМУ ОКРУГУ (117105 МОСКВА ГОРОД ШОССЕ ВАРШАВСКОЕ 39А, ОГРН: 1057748853690, Дата присвоения ОГРН: 31.10.2005, ИНН: 7724559170)</w:t>
      </w:r>
    </w:p>
    <w:p w:rsidR="007A4D5D" w:rsidRDefault="007A4D5D" w:rsidP="007A4D5D">
      <w:pPr>
        <w:pStyle w:val="a3"/>
        <w:spacing w:before="0" w:beforeAutospacing="0" w:after="0" w:afterAutospacing="0"/>
      </w:pPr>
      <w:r>
        <w:br/>
        <w:t xml:space="preserve">о взыскании 931 105 </w:t>
      </w:r>
      <w:proofErr w:type="spellStart"/>
      <w:r>
        <w:t>рублеи</w:t>
      </w:r>
      <w:proofErr w:type="spellEnd"/>
      <w:r>
        <w:t xml:space="preserve">̆ 01 копеек, расходы на оплату услуг представителя в размере 50 000 </w:t>
      </w:r>
      <w:proofErr w:type="spellStart"/>
      <w:r>
        <w:t>рублеи</w:t>
      </w:r>
      <w:proofErr w:type="spellEnd"/>
      <w:r>
        <w:t xml:space="preserve">̆ 00 копеек, </w:t>
      </w:r>
    </w:p>
    <w:p w:rsidR="007A4D5D" w:rsidRDefault="007A4D5D" w:rsidP="007A4D5D">
      <w:pPr>
        <w:pStyle w:val="a3"/>
        <w:jc w:val="center"/>
      </w:pPr>
      <w:r>
        <w:t>УСТАНОВИЛ: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ОБЩЕСТВО С ОГРАНИЧЕННОЙ ОТВЕТСТВЕННОСТЬЮ "ИНТЕРФЛЕКСО М" обратилось в </w:t>
      </w:r>
      <w:proofErr w:type="spellStart"/>
      <w:r w:rsidRPr="007A4D5D">
        <w:t>Арбитражныи</w:t>
      </w:r>
      <w:proofErr w:type="spellEnd"/>
      <w:r w:rsidRPr="007A4D5D">
        <w:t xml:space="preserve">̆ суд города Москвы с исковым заявлением о взыскании с ДЕПАРТАМЕНТА ФЕДЕРАЛЬНОЙ СЛУЖБЫ ПО НАДЗОРУ В СФЕРЕ ПРИРОДОПОЛЬЗОВАНИЯ ПО ЦЕНТРАЛЬНОМУ ФЕДЕРАЛЬНОМУ ОКРУГУ неосновательного обогащения в виде излишне </w:t>
      </w:r>
      <w:proofErr w:type="spellStart"/>
      <w:r w:rsidRPr="007A4D5D">
        <w:t>уплаченнои</w:t>
      </w:r>
      <w:proofErr w:type="spellEnd"/>
      <w:r w:rsidRPr="007A4D5D">
        <w:t xml:space="preserve">̆ платы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 в размере 931 105 руб. 01 коп., судебных расходов на оплату услуг представителя в размере 50 000 руб. 00 коп., расходов по госпошлине в размере 21 622 руб. 00 коп.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Истец исковые требования поддержал в полном объеме по доводам искового заявления со </w:t>
      </w:r>
      <w:proofErr w:type="spellStart"/>
      <w:r w:rsidRPr="007A4D5D">
        <w:t>ссылкои</w:t>
      </w:r>
      <w:proofErr w:type="spellEnd"/>
      <w:r w:rsidRPr="007A4D5D">
        <w:t xml:space="preserve">̆ на представленные доказательства.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Ответчик исковые требования не признал по доводам письменного отзыва </w:t>
      </w:r>
      <w:proofErr w:type="gramStart"/>
      <w:r w:rsidRPr="007A4D5D">
        <w:t>на иск</w:t>
      </w:r>
      <w:proofErr w:type="gramEnd"/>
      <w:r w:rsidRPr="007A4D5D">
        <w:t xml:space="preserve">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Учитывая отсутствие возражений сторон на переход к рассмотрению дела по существу в суде </w:t>
      </w:r>
      <w:proofErr w:type="spellStart"/>
      <w:r w:rsidRPr="007A4D5D">
        <w:t>первои</w:t>
      </w:r>
      <w:proofErr w:type="spellEnd"/>
      <w:r w:rsidRPr="007A4D5D">
        <w:t xml:space="preserve">̆ инстанции, суд в соответствии с ч.4 ст.137 АПК РФ, завершил предварительное </w:t>
      </w:r>
      <w:r w:rsidRPr="007A4D5D">
        <w:lastRenderedPageBreak/>
        <w:t xml:space="preserve">судебное заседание и рассмотрел дело в судебном заседании в </w:t>
      </w:r>
      <w:proofErr w:type="spellStart"/>
      <w:r w:rsidRPr="007A4D5D">
        <w:t>первои</w:t>
      </w:r>
      <w:proofErr w:type="spellEnd"/>
      <w:r w:rsidRPr="007A4D5D">
        <w:t xml:space="preserve">̆ инстанции на основании ст. 137 АПК РФ.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Рассмотрев материалы дела, суд считает заявленные требования обоснованными и подлежащими удовлетворению по следующим основаниям. </w:t>
      </w:r>
    </w:p>
    <w:p w:rsidR="007A4D5D" w:rsidRPr="007A4D5D" w:rsidRDefault="007A4D5D" w:rsidP="007A4D5D">
      <w:pPr>
        <w:pStyle w:val="a3"/>
        <w:jc w:val="both"/>
      </w:pPr>
      <w:r w:rsidRPr="007A4D5D">
        <w:t>Как усматривается из материалов дела, ООО «</w:t>
      </w:r>
      <w:proofErr w:type="spellStart"/>
      <w:r w:rsidRPr="007A4D5D">
        <w:t>Интерфлексо</w:t>
      </w:r>
      <w:proofErr w:type="spellEnd"/>
      <w:r w:rsidRPr="007A4D5D">
        <w:t xml:space="preserve"> М» (истец) является плательщиком платы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 и вправе осуществлять выбросы вредных (загрязняющих) веществ в </w:t>
      </w:r>
      <w:proofErr w:type="spellStart"/>
      <w:r w:rsidRPr="007A4D5D">
        <w:t>атмосферныи</w:t>
      </w:r>
      <w:proofErr w:type="spellEnd"/>
      <w:r w:rsidRPr="007A4D5D">
        <w:t xml:space="preserve">̆ воздух на основании Разрешения </w:t>
      </w:r>
      <w:proofErr w:type="spellStart"/>
      <w:r w:rsidRPr="007A4D5D">
        <w:t>No</w:t>
      </w:r>
      <w:proofErr w:type="spellEnd"/>
      <w:r w:rsidRPr="007A4D5D">
        <w:t xml:space="preserve"> 54/194МО от 14.04.2017г., выданного Департаментом </w:t>
      </w:r>
      <w:proofErr w:type="spellStart"/>
      <w:r w:rsidRPr="007A4D5D">
        <w:t>Росприроднадзора</w:t>
      </w:r>
      <w:proofErr w:type="spellEnd"/>
      <w:r w:rsidRPr="007A4D5D">
        <w:t xml:space="preserve"> по Центральному федеральному округу на основании приказа </w:t>
      </w:r>
      <w:proofErr w:type="spellStart"/>
      <w:r w:rsidRPr="007A4D5D">
        <w:t>No</w:t>
      </w:r>
      <w:proofErr w:type="spellEnd"/>
      <w:r w:rsidRPr="007A4D5D">
        <w:t xml:space="preserve"> 745-р от 14.04.2017г.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Согласно Приказу Минприроды России от 09.01.2017 </w:t>
      </w:r>
      <w:proofErr w:type="spellStart"/>
      <w:r w:rsidRPr="007A4D5D">
        <w:t>No</w:t>
      </w:r>
      <w:proofErr w:type="spellEnd"/>
      <w:r w:rsidRPr="007A4D5D">
        <w:t xml:space="preserve"> 3 «Об утверждении Порядка представления декларации о плате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 и ее формы» истец своевременно представлял в Департамент </w:t>
      </w:r>
      <w:proofErr w:type="spellStart"/>
      <w:r w:rsidRPr="007A4D5D">
        <w:t>Росприроднадзора</w:t>
      </w:r>
      <w:proofErr w:type="spellEnd"/>
      <w:r w:rsidRPr="007A4D5D">
        <w:t xml:space="preserve"> по Центральному федеральному округу Декларации о плате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среду, своевременно и в по</w:t>
      </w:r>
      <w:bookmarkStart w:id="0" w:name="_GoBack"/>
      <w:bookmarkEnd w:id="0"/>
      <w:r w:rsidRPr="007A4D5D">
        <w:t xml:space="preserve">лном объеме осуществлял плату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среду, что подтверждается представленными доказательствами. </w:t>
      </w:r>
    </w:p>
    <w:p w:rsidR="007A4D5D" w:rsidRPr="007A4D5D" w:rsidRDefault="007A4D5D" w:rsidP="007A4D5D">
      <w:pPr>
        <w:pStyle w:val="a3"/>
        <w:jc w:val="both"/>
      </w:pPr>
      <w:r w:rsidRPr="007A4D5D">
        <w:t>Отсутствие задолженности со стороны ООО «</w:t>
      </w:r>
      <w:proofErr w:type="spellStart"/>
      <w:r w:rsidRPr="007A4D5D">
        <w:t>Интерфлексо</w:t>
      </w:r>
      <w:proofErr w:type="spellEnd"/>
      <w:r w:rsidRPr="007A4D5D">
        <w:t xml:space="preserve"> М» по плате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 подтверждается составленным сторонами Актом сверки расчетов </w:t>
      </w:r>
      <w:proofErr w:type="spellStart"/>
      <w:r w:rsidRPr="007A4D5D">
        <w:t>No</w:t>
      </w:r>
      <w:proofErr w:type="spellEnd"/>
      <w:r w:rsidRPr="007A4D5D">
        <w:t xml:space="preserve"> 74/18 от 07.05.2018г.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Однако, осуществляя оплату налогов в МРИ МНС России No5 по </w:t>
      </w:r>
      <w:proofErr w:type="spellStart"/>
      <w:r w:rsidRPr="007A4D5D">
        <w:t>Московскои</w:t>
      </w:r>
      <w:proofErr w:type="spellEnd"/>
      <w:r w:rsidRPr="007A4D5D">
        <w:t xml:space="preserve">̆ области, истцом ошибочно платежным поручением </w:t>
      </w:r>
      <w:proofErr w:type="spellStart"/>
      <w:r w:rsidRPr="007A4D5D">
        <w:t>No</w:t>
      </w:r>
      <w:proofErr w:type="spellEnd"/>
      <w:r w:rsidRPr="007A4D5D">
        <w:t xml:space="preserve"> 80 от 07.08.2017г. в адрес Департамента </w:t>
      </w:r>
      <w:proofErr w:type="spellStart"/>
      <w:r w:rsidRPr="007A4D5D">
        <w:t>Росприроднадзора</w:t>
      </w:r>
      <w:proofErr w:type="spellEnd"/>
      <w:r w:rsidRPr="007A4D5D">
        <w:t xml:space="preserve"> по Центральному федеральному округу была перечислена денежная сумма в размере 931.105,01 </w:t>
      </w:r>
      <w:proofErr w:type="spellStart"/>
      <w:r w:rsidRPr="007A4D5D">
        <w:t>рублеи</w:t>
      </w:r>
      <w:proofErr w:type="spellEnd"/>
      <w:r w:rsidRPr="007A4D5D">
        <w:t xml:space="preserve">̆ с назначение платежа «Оплата НДС за 1 квартал 2017г.».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Получение </w:t>
      </w:r>
      <w:proofErr w:type="spellStart"/>
      <w:r w:rsidRPr="007A4D5D">
        <w:t>указаннои</w:t>
      </w:r>
      <w:proofErr w:type="spellEnd"/>
      <w:r w:rsidRPr="007A4D5D">
        <w:t xml:space="preserve">̆ суммы не оспаривается Департаментом </w:t>
      </w:r>
      <w:proofErr w:type="spellStart"/>
      <w:r w:rsidRPr="007A4D5D">
        <w:t>Росприроднадзора</w:t>
      </w:r>
      <w:proofErr w:type="spellEnd"/>
      <w:r w:rsidRPr="007A4D5D">
        <w:t xml:space="preserve"> по Центральному федеральному округу и отражено в Акте сверки, как переплата по ОКТМО 46760000.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Истец письмами </w:t>
      </w:r>
      <w:proofErr w:type="spellStart"/>
      <w:r w:rsidRPr="007A4D5D">
        <w:t>No</w:t>
      </w:r>
      <w:proofErr w:type="spellEnd"/>
      <w:r w:rsidRPr="007A4D5D">
        <w:t xml:space="preserve"> 11/2017-1 от 13.11.2017г. и 17/2018-1 от 17.12.2018г. обращался к ответчику с </w:t>
      </w:r>
      <w:proofErr w:type="spellStart"/>
      <w:r w:rsidRPr="007A4D5D">
        <w:t>просьбои</w:t>
      </w:r>
      <w:proofErr w:type="spellEnd"/>
      <w:r w:rsidRPr="007A4D5D">
        <w:t xml:space="preserve">̆ осуществить возврат ошибочно перечисленных платежным поручением </w:t>
      </w:r>
      <w:proofErr w:type="spellStart"/>
      <w:r w:rsidRPr="007A4D5D">
        <w:t>No</w:t>
      </w:r>
      <w:proofErr w:type="spellEnd"/>
      <w:r w:rsidRPr="007A4D5D">
        <w:t xml:space="preserve"> 80 от 07.08.2017г. денежных средств в размере 931 105 руб. 01 коп.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Однако ответчик письмом от 08.12.2017г. </w:t>
      </w:r>
      <w:proofErr w:type="spellStart"/>
      <w:r w:rsidRPr="007A4D5D">
        <w:t>No</w:t>
      </w:r>
      <w:proofErr w:type="spellEnd"/>
      <w:r w:rsidRPr="007A4D5D">
        <w:t xml:space="preserve"> 1751/16047 сослался на необходимость проведения сверки расчетов для осуществления возврата (зачета) денежных средств и необходимость подтверждения наличия переплаты по плате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Письмом от 24.05.2018г. </w:t>
      </w:r>
      <w:proofErr w:type="spellStart"/>
      <w:r w:rsidRPr="007A4D5D">
        <w:t>No</w:t>
      </w:r>
      <w:proofErr w:type="spellEnd"/>
      <w:r w:rsidRPr="007A4D5D">
        <w:t xml:space="preserve"> 1751/5894 указал на невозможность возврата излишне уплаченных сумм в виду отсутствия юридического основания к проведению возврата, а именно отсутствие регистрации в Министерстве юстиции РФ Приказа </w:t>
      </w:r>
      <w:proofErr w:type="spellStart"/>
      <w:r w:rsidRPr="007A4D5D">
        <w:t>Росприроднадзора</w:t>
      </w:r>
      <w:proofErr w:type="spellEnd"/>
      <w:r w:rsidRPr="007A4D5D">
        <w:t xml:space="preserve"> от 20.12.2017г. </w:t>
      </w:r>
      <w:proofErr w:type="spellStart"/>
      <w:r w:rsidRPr="007A4D5D">
        <w:t>No</w:t>
      </w:r>
      <w:proofErr w:type="spellEnd"/>
      <w:r w:rsidRPr="007A4D5D">
        <w:t xml:space="preserve"> 597 «Об утверждении порядка зачета и возврата территориальными органами </w:t>
      </w:r>
      <w:proofErr w:type="spellStart"/>
      <w:r w:rsidRPr="007A4D5D">
        <w:t>Федеральнои</w:t>
      </w:r>
      <w:proofErr w:type="spellEnd"/>
      <w:r w:rsidRPr="007A4D5D">
        <w:t xml:space="preserve">̆ службы по надзору в сфере природопользования сумм излишне </w:t>
      </w:r>
      <w:proofErr w:type="spellStart"/>
      <w:r w:rsidRPr="007A4D5D">
        <w:t>уплаченнои</w:t>
      </w:r>
      <w:proofErr w:type="spellEnd"/>
      <w:r w:rsidRPr="007A4D5D">
        <w:t xml:space="preserve">̆ платы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среду».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Письмом от 25.12.2018г. </w:t>
      </w:r>
      <w:proofErr w:type="spellStart"/>
      <w:r w:rsidRPr="007A4D5D">
        <w:t>No</w:t>
      </w:r>
      <w:proofErr w:type="spellEnd"/>
      <w:r w:rsidRPr="007A4D5D">
        <w:t xml:space="preserve"> 1751/16209 Департамент сообщил о невозможности возврата сумм излишне </w:t>
      </w:r>
      <w:proofErr w:type="spellStart"/>
      <w:r w:rsidRPr="007A4D5D">
        <w:t>уплаченнои</w:t>
      </w:r>
      <w:proofErr w:type="spellEnd"/>
      <w:r w:rsidRPr="007A4D5D">
        <w:t xml:space="preserve">̆ платы. </w:t>
      </w:r>
    </w:p>
    <w:p w:rsidR="007A4D5D" w:rsidRPr="007A4D5D" w:rsidRDefault="007A4D5D" w:rsidP="007A4D5D">
      <w:pPr>
        <w:pStyle w:val="a3"/>
        <w:jc w:val="both"/>
      </w:pPr>
      <w:r w:rsidRPr="007A4D5D">
        <w:lastRenderedPageBreak/>
        <w:t xml:space="preserve">Таким образом, ответчик отказал истцу в возврате ошибочно перечисленных платежным поручением </w:t>
      </w:r>
      <w:proofErr w:type="spellStart"/>
      <w:r w:rsidRPr="007A4D5D">
        <w:t>No</w:t>
      </w:r>
      <w:proofErr w:type="spellEnd"/>
      <w:r w:rsidRPr="007A4D5D">
        <w:t xml:space="preserve"> 80 от 07.08.2017г. денежных средств в размере 931 105 руб. 01 коп.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Ответчик денежные средства не возвратил, связи с чем, неосновательно обогатился за счет истца на сумму 931 105 руб. 01 коп., в связи с чем, истец обратился с настоящим иском в суд.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Между тем Федеральными законами от 19.12.2016г. </w:t>
      </w:r>
      <w:proofErr w:type="spellStart"/>
      <w:r w:rsidRPr="007A4D5D">
        <w:t>No</w:t>
      </w:r>
      <w:proofErr w:type="spellEnd"/>
      <w:r w:rsidRPr="007A4D5D">
        <w:t xml:space="preserve"> 415-ФЗ «О федеральном бюджете на 2017 год и на </w:t>
      </w:r>
      <w:proofErr w:type="spellStart"/>
      <w:r w:rsidRPr="007A4D5D">
        <w:t>плановыи</w:t>
      </w:r>
      <w:proofErr w:type="spellEnd"/>
      <w:r w:rsidRPr="007A4D5D">
        <w:t xml:space="preserve">̆ период 2018 и 2019 годов», от 05.12.2017г. </w:t>
      </w:r>
      <w:proofErr w:type="spellStart"/>
      <w:r w:rsidRPr="007A4D5D">
        <w:t>No</w:t>
      </w:r>
      <w:proofErr w:type="spellEnd"/>
      <w:r w:rsidRPr="007A4D5D">
        <w:t xml:space="preserve"> 362- ФЗ «О федеральном бюджете на 2018 год и на </w:t>
      </w:r>
      <w:proofErr w:type="spellStart"/>
      <w:r w:rsidRPr="007A4D5D">
        <w:t>плановыи</w:t>
      </w:r>
      <w:proofErr w:type="spellEnd"/>
      <w:r w:rsidRPr="007A4D5D">
        <w:t xml:space="preserve">̆ период 2019 и 2020 годов», от 29.12.2018г. </w:t>
      </w:r>
      <w:proofErr w:type="spellStart"/>
      <w:r w:rsidRPr="007A4D5D">
        <w:t>No</w:t>
      </w:r>
      <w:proofErr w:type="spellEnd"/>
      <w:r w:rsidRPr="007A4D5D">
        <w:t xml:space="preserve"> 459-ФЗ «О федеральном бюджете на 2019 год и на </w:t>
      </w:r>
      <w:proofErr w:type="spellStart"/>
      <w:r w:rsidRPr="007A4D5D">
        <w:t>плановыи</w:t>
      </w:r>
      <w:proofErr w:type="spellEnd"/>
      <w:r w:rsidRPr="007A4D5D">
        <w:t xml:space="preserve">̆ период 2020 и 2021 годов» утверждены Перечни главных администраторов доходов федерального бюджета, согласно которым Федеральная служба по надзору в сфере природопользования является администратором платы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В свою очередь федеральные органы </w:t>
      </w:r>
      <w:proofErr w:type="spellStart"/>
      <w:r w:rsidRPr="007A4D5D">
        <w:t>государственнои</w:t>
      </w:r>
      <w:proofErr w:type="spellEnd"/>
      <w:r w:rsidRPr="007A4D5D">
        <w:t xml:space="preserve">̆ власти, являющиеся главными администраторами доходов федерального бюджета, наделяют свои территориальные органы отдельными полномочиями главных администраторов доходов федерального бюджета путем издания правового акта.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Так, в соответствии с Приказом </w:t>
      </w:r>
      <w:proofErr w:type="spellStart"/>
      <w:r w:rsidRPr="007A4D5D">
        <w:t>Федеральнои</w:t>
      </w:r>
      <w:proofErr w:type="spellEnd"/>
      <w:r w:rsidRPr="007A4D5D">
        <w:t xml:space="preserve">̆ службы по надзору в сфере природопользования от 29.02.2016г. No110 "Об осуществлении территориальными органами </w:t>
      </w:r>
      <w:proofErr w:type="spellStart"/>
      <w:r w:rsidRPr="007A4D5D">
        <w:t>Федеральнои</w:t>
      </w:r>
      <w:proofErr w:type="spellEnd"/>
      <w:r w:rsidRPr="007A4D5D">
        <w:t xml:space="preserve">̆ службы по надзору в сфере природопользования бюджетных полномочий главных администраторов доходов бюджетов </w:t>
      </w:r>
      <w:proofErr w:type="spellStart"/>
      <w:r w:rsidRPr="007A4D5D">
        <w:t>бюджетнои</w:t>
      </w:r>
      <w:proofErr w:type="spellEnd"/>
      <w:r w:rsidRPr="007A4D5D">
        <w:t xml:space="preserve">̆ системы </w:t>
      </w:r>
      <w:proofErr w:type="spellStart"/>
      <w:r w:rsidRPr="007A4D5D">
        <w:t>Российскои</w:t>
      </w:r>
      <w:proofErr w:type="spellEnd"/>
      <w:r w:rsidRPr="007A4D5D">
        <w:t xml:space="preserve">̆ Федерации" (вместе с "Порядком осуществления территориальными органами </w:t>
      </w:r>
      <w:proofErr w:type="spellStart"/>
      <w:r w:rsidRPr="007A4D5D">
        <w:t>Росприроднадзора</w:t>
      </w:r>
      <w:proofErr w:type="spellEnd"/>
      <w:r w:rsidRPr="007A4D5D">
        <w:t xml:space="preserve"> полномочии главных администраторов доходов бюджетов </w:t>
      </w:r>
      <w:proofErr w:type="spellStart"/>
      <w:r w:rsidRPr="007A4D5D">
        <w:t>бюджетнои</w:t>
      </w:r>
      <w:proofErr w:type="spellEnd"/>
      <w:r w:rsidRPr="007A4D5D">
        <w:t xml:space="preserve">̆ системы </w:t>
      </w:r>
      <w:proofErr w:type="spellStart"/>
      <w:r w:rsidRPr="007A4D5D">
        <w:t>Российскои</w:t>
      </w:r>
      <w:proofErr w:type="spellEnd"/>
      <w:r w:rsidRPr="007A4D5D">
        <w:t xml:space="preserve">̆ Федерации") Департамент </w:t>
      </w:r>
      <w:proofErr w:type="spellStart"/>
      <w:r w:rsidRPr="007A4D5D">
        <w:t>Росприроднадзора</w:t>
      </w:r>
      <w:proofErr w:type="spellEnd"/>
      <w:r w:rsidRPr="007A4D5D">
        <w:t xml:space="preserve"> по Центральному федеральному округу наделен полномочиями администратора доходов бюджетов </w:t>
      </w:r>
      <w:proofErr w:type="spellStart"/>
      <w:r w:rsidRPr="007A4D5D">
        <w:t>бюджетнои</w:t>
      </w:r>
      <w:proofErr w:type="spellEnd"/>
      <w:r w:rsidRPr="007A4D5D">
        <w:t xml:space="preserve">̆ системы </w:t>
      </w:r>
      <w:proofErr w:type="spellStart"/>
      <w:r w:rsidRPr="007A4D5D">
        <w:t>Российскои</w:t>
      </w:r>
      <w:proofErr w:type="spellEnd"/>
      <w:r w:rsidRPr="007A4D5D">
        <w:t xml:space="preserve">̆ Федерации в отношении </w:t>
      </w:r>
      <w:proofErr w:type="spellStart"/>
      <w:r w:rsidRPr="007A4D5D">
        <w:t>платежеи</w:t>
      </w:r>
      <w:proofErr w:type="spellEnd"/>
      <w:r w:rsidRPr="007A4D5D">
        <w:t xml:space="preserve">̆ за негативное </w:t>
      </w:r>
      <w:proofErr w:type="spellStart"/>
      <w:r w:rsidRPr="007A4D5D">
        <w:t>воздействие</w:t>
      </w:r>
      <w:proofErr w:type="spellEnd"/>
      <w:r w:rsidRPr="007A4D5D">
        <w:t xml:space="preserve"> на окружающую среду на территории </w:t>
      </w:r>
      <w:proofErr w:type="spellStart"/>
      <w:r w:rsidRPr="007A4D5D">
        <w:t>г.Москвы</w:t>
      </w:r>
      <w:proofErr w:type="spellEnd"/>
      <w:r w:rsidRPr="007A4D5D">
        <w:t xml:space="preserve"> и </w:t>
      </w:r>
      <w:proofErr w:type="spellStart"/>
      <w:r w:rsidRPr="007A4D5D">
        <w:t>Московскои</w:t>
      </w:r>
      <w:proofErr w:type="spellEnd"/>
      <w:r w:rsidRPr="007A4D5D">
        <w:t xml:space="preserve">̆ области, а также полномочиями по принятию решений о возврате излишне уплаченных (взысканных) </w:t>
      </w:r>
      <w:proofErr w:type="spellStart"/>
      <w:r w:rsidRPr="007A4D5D">
        <w:t>платежеи</w:t>
      </w:r>
      <w:proofErr w:type="spellEnd"/>
      <w:r w:rsidRPr="007A4D5D">
        <w:t xml:space="preserve">̆ в бюджет и представление в </w:t>
      </w:r>
      <w:proofErr w:type="spellStart"/>
      <w:r w:rsidRPr="007A4D5D">
        <w:t>территориальныи</w:t>
      </w:r>
      <w:proofErr w:type="spellEnd"/>
      <w:r w:rsidRPr="007A4D5D">
        <w:t xml:space="preserve">̆ орган Федерального </w:t>
      </w:r>
      <w:proofErr w:type="spellStart"/>
      <w:r w:rsidRPr="007A4D5D">
        <w:t>казначейства</w:t>
      </w:r>
      <w:proofErr w:type="spellEnd"/>
      <w:r w:rsidRPr="007A4D5D">
        <w:t xml:space="preserve"> по соответствующему субъекту </w:t>
      </w:r>
      <w:proofErr w:type="spellStart"/>
      <w:r w:rsidRPr="007A4D5D">
        <w:t>Российскои</w:t>
      </w:r>
      <w:proofErr w:type="spellEnd"/>
      <w:r w:rsidRPr="007A4D5D">
        <w:t xml:space="preserve">̆ Федерации поручений (сообщений) для осуществления возврата в порядке, установленном Министерством финансов </w:t>
      </w:r>
      <w:proofErr w:type="spellStart"/>
      <w:r w:rsidRPr="007A4D5D">
        <w:t>Российскои</w:t>
      </w:r>
      <w:proofErr w:type="spellEnd"/>
      <w:r w:rsidRPr="007A4D5D">
        <w:t xml:space="preserve">̆ Федерации (п.2.3).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Согласно положениям пункта 2 статьи 160.1 Бюджетного кодекса </w:t>
      </w:r>
      <w:proofErr w:type="spellStart"/>
      <w:r w:rsidRPr="007A4D5D">
        <w:t>Российскои</w:t>
      </w:r>
      <w:proofErr w:type="spellEnd"/>
      <w:r w:rsidRPr="007A4D5D">
        <w:t xml:space="preserve">̆ Федерации администратор доходов принимает решение о возврате излишне уплаченных (взысканных) </w:t>
      </w:r>
      <w:proofErr w:type="spellStart"/>
      <w:r w:rsidRPr="007A4D5D">
        <w:t>платежеи</w:t>
      </w:r>
      <w:proofErr w:type="spellEnd"/>
      <w:r w:rsidRPr="007A4D5D">
        <w:t xml:space="preserve">̆ в бюджет, </w:t>
      </w:r>
      <w:proofErr w:type="spellStart"/>
      <w:r w:rsidRPr="007A4D5D">
        <w:t>пенеи</w:t>
      </w:r>
      <w:proofErr w:type="spellEnd"/>
      <w:r w:rsidRPr="007A4D5D">
        <w:t xml:space="preserve">̆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proofErr w:type="spellStart"/>
      <w:r w:rsidRPr="007A4D5D">
        <w:t>казначейства</w:t>
      </w:r>
      <w:proofErr w:type="spellEnd"/>
      <w:r w:rsidRPr="007A4D5D">
        <w:t xml:space="preserve"> для осуществления возврата в порядке, установленном Министерством финансов </w:t>
      </w:r>
      <w:proofErr w:type="spellStart"/>
      <w:r w:rsidRPr="007A4D5D">
        <w:t>Российскои</w:t>
      </w:r>
      <w:proofErr w:type="spellEnd"/>
      <w:r w:rsidRPr="007A4D5D">
        <w:t xml:space="preserve">̆ Федерации.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Порядок возврата денежных средств установлен Приказом Минфина России от 18.12.2013 </w:t>
      </w:r>
      <w:proofErr w:type="spellStart"/>
      <w:r w:rsidRPr="007A4D5D">
        <w:t>No</w:t>
      </w:r>
      <w:proofErr w:type="spellEnd"/>
      <w:r w:rsidRPr="007A4D5D">
        <w:t xml:space="preserve"> 125н "Об утверждении Порядка учета Федеральным </w:t>
      </w:r>
      <w:proofErr w:type="spellStart"/>
      <w:r w:rsidRPr="007A4D5D">
        <w:t>казначейством</w:t>
      </w:r>
      <w:proofErr w:type="spellEnd"/>
      <w:r w:rsidRPr="007A4D5D">
        <w:t xml:space="preserve"> поступлений в бюджетную систему </w:t>
      </w:r>
      <w:proofErr w:type="spellStart"/>
      <w:r w:rsidRPr="007A4D5D">
        <w:t>Российскои</w:t>
      </w:r>
      <w:proofErr w:type="spellEnd"/>
      <w:r w:rsidRPr="007A4D5D">
        <w:t xml:space="preserve">̆ Федерации и их распределения между бюджетами </w:t>
      </w:r>
      <w:proofErr w:type="spellStart"/>
      <w:r w:rsidRPr="007A4D5D">
        <w:t>бюджетнои</w:t>
      </w:r>
      <w:proofErr w:type="spellEnd"/>
      <w:r w:rsidRPr="007A4D5D">
        <w:t xml:space="preserve">̆ системы </w:t>
      </w:r>
      <w:proofErr w:type="spellStart"/>
      <w:r w:rsidRPr="007A4D5D">
        <w:t>Российскои</w:t>
      </w:r>
      <w:proofErr w:type="spellEnd"/>
      <w:r w:rsidRPr="007A4D5D">
        <w:t xml:space="preserve">̆ Федерации", согласно п. 27 которого возврат плательщикам излишне уплаченных(взысканных) сумм, подлежащих возмещению сумм, а также сумм процентов за несвоевременное осуществление возврата и сумм процентов, начисленных на излишне взысканные суммы (далее - возврат сумм поступлений), осуществляется на основании Заявок на возврат, представленных администраторами </w:t>
      </w:r>
      <w:r w:rsidRPr="007A4D5D">
        <w:lastRenderedPageBreak/>
        <w:t xml:space="preserve">поступлений в бюджеты, в срок, не </w:t>
      </w:r>
      <w:proofErr w:type="spellStart"/>
      <w:r w:rsidRPr="007A4D5D">
        <w:t>превышающии</w:t>
      </w:r>
      <w:proofErr w:type="spellEnd"/>
      <w:r w:rsidRPr="007A4D5D">
        <w:t xml:space="preserve">̆ 3-х рабочих </w:t>
      </w:r>
      <w:proofErr w:type="spellStart"/>
      <w:r w:rsidRPr="007A4D5D">
        <w:t>днеи</w:t>
      </w:r>
      <w:proofErr w:type="spellEnd"/>
      <w:r w:rsidRPr="007A4D5D">
        <w:t xml:space="preserve">̆, следующих за днем их представления в орган Федерального </w:t>
      </w:r>
      <w:proofErr w:type="spellStart"/>
      <w:r w:rsidRPr="007A4D5D">
        <w:t>казначейства</w:t>
      </w:r>
      <w:proofErr w:type="spellEnd"/>
      <w:r w:rsidRPr="007A4D5D">
        <w:t xml:space="preserve">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Таким образом, у ответчика имелась возможность вернуть истцу ошибочно перечисленные денежные средства, однако он необоснованно уклонился от выполнения </w:t>
      </w:r>
      <w:proofErr w:type="spellStart"/>
      <w:r w:rsidRPr="007A4D5D">
        <w:t>даннои</w:t>
      </w:r>
      <w:proofErr w:type="spellEnd"/>
      <w:r w:rsidRPr="007A4D5D">
        <w:t xml:space="preserve">̆ обязанности.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В силу п. 1 ст. 1102 Гражданского кодекса </w:t>
      </w:r>
      <w:proofErr w:type="spellStart"/>
      <w:r w:rsidRPr="007A4D5D">
        <w:t>Российскои</w:t>
      </w:r>
      <w:proofErr w:type="spellEnd"/>
      <w:r w:rsidRPr="007A4D5D">
        <w:t xml:space="preserve">̆ Федерации лицо, которое без установленных законом, иными правовыми актами или </w:t>
      </w:r>
      <w:proofErr w:type="spellStart"/>
      <w:r w:rsidRPr="007A4D5D">
        <w:t>сделкои</w:t>
      </w:r>
      <w:proofErr w:type="spellEnd"/>
      <w:r w:rsidRPr="007A4D5D">
        <w:t xml:space="preserve">̆ оснований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ст. 1109 ГК РФ.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В соответствии с п. 2 ст. 1102 Гражданского кодекса </w:t>
      </w:r>
      <w:proofErr w:type="spellStart"/>
      <w:r w:rsidRPr="007A4D5D">
        <w:t>Российскои</w:t>
      </w:r>
      <w:proofErr w:type="spellEnd"/>
      <w:r w:rsidRPr="007A4D5D">
        <w:t xml:space="preserve">̆ Федерации правила, предусмотренные </w:t>
      </w:r>
      <w:proofErr w:type="spellStart"/>
      <w:r w:rsidRPr="007A4D5D">
        <w:t>главои</w:t>
      </w:r>
      <w:proofErr w:type="spellEnd"/>
      <w:r w:rsidRPr="007A4D5D">
        <w:t xml:space="preserve">̆ 60 ГК РФ,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Обязательства из неосновательного обогащения выполняют функцию универсального института защиты гражданских прав, так как относятся к числу внедоговорных и оформляют отношения не характерные для нормальных имущественных отношений между субъектами гражданского права. Обязательства из неосновательного обогащения являются охранительными, они предназначены для создания гарантий от нарушения прав и интересов субъектов и механизмов защиты в случаях возникновения нарушений. Основная цель данных обязательств - восстановление </w:t>
      </w:r>
      <w:proofErr w:type="spellStart"/>
      <w:r w:rsidRPr="007A4D5D">
        <w:t>имущественнои</w:t>
      </w:r>
      <w:proofErr w:type="spellEnd"/>
      <w:r w:rsidRPr="007A4D5D">
        <w:t xml:space="preserve">̆ сферы лица, за счет которого иное лицо неосновательно обогатилось.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Из диспозиции ст. 1102 Гражданского кодекса </w:t>
      </w:r>
      <w:proofErr w:type="spellStart"/>
      <w:r w:rsidRPr="007A4D5D">
        <w:t>Российскои</w:t>
      </w:r>
      <w:proofErr w:type="spellEnd"/>
      <w:r w:rsidRPr="007A4D5D">
        <w:t xml:space="preserve">̆ Федерации следует, что в предмет доказывания о взыскании стоимости неосновательного обогащения одновременно входят два обстоятельства: обогащение одного лица за счет другого и приобретение либо сбережение имущества без предусмотренных законом, правовым актом или </w:t>
      </w:r>
      <w:proofErr w:type="spellStart"/>
      <w:r w:rsidRPr="007A4D5D">
        <w:t>сделкои</w:t>
      </w:r>
      <w:proofErr w:type="spellEnd"/>
      <w:r w:rsidRPr="007A4D5D">
        <w:t xml:space="preserve">̆ оснований.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Согласно ст. 65 АПК РФ каждое лицо, участвующее в деле, должно доказать обстоятельства, на которые оно ссылается как на основание своих требований и возражений.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Поскольку ответчик доказательств возврата денежных средств в материалы дела не представил, суд считает, что требования истца о взыскании 931 105 руб. 01 коп. подлежат взысканию в связи с отсутствием каких-либо доказательств, подтверждающих факт возврата денежных средств.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Заявление истца о взыскании судебных расходов на оплату услуг представителя в размере 50 000 руб. подлежит удовлетворению. </w:t>
      </w:r>
    </w:p>
    <w:p w:rsidR="007A4D5D" w:rsidRPr="007A4D5D" w:rsidRDefault="007A4D5D" w:rsidP="007A4D5D">
      <w:pPr>
        <w:pStyle w:val="a3"/>
        <w:jc w:val="both"/>
      </w:pPr>
      <w:r w:rsidRPr="007A4D5D">
        <w:t>В соответствии со ст. 106 АПК РФ к судебным издержкам, связанным с рассмотрением дела в арбитражном суде, относятся денежные суммы, подлежащие выплате экспертам, свидетелям, переводчикам, расходы, связанные с проведением осмотра доказательств на месте, расходы на оплату услуг адвокатов и иных лиц. оказывающих юридическую помощь (</w:t>
      </w:r>
      <w:proofErr w:type="spellStart"/>
      <w:r w:rsidRPr="007A4D5D">
        <w:t>представителеи</w:t>
      </w:r>
      <w:proofErr w:type="spellEnd"/>
      <w:r w:rsidRPr="007A4D5D">
        <w:t xml:space="preserve">̆), и другие расходы, понесенные лицами, участвующими в деле, в связи с рассмотрением дела в арбитражном суде. </w:t>
      </w:r>
    </w:p>
    <w:p w:rsidR="007A4D5D" w:rsidRPr="007A4D5D" w:rsidRDefault="007A4D5D" w:rsidP="007A4D5D">
      <w:pPr>
        <w:pStyle w:val="a3"/>
        <w:jc w:val="both"/>
      </w:pPr>
      <w:r w:rsidRPr="007A4D5D">
        <w:lastRenderedPageBreak/>
        <w:t xml:space="preserve">В соответствии со ст. 110 АПК РФ судебные расходы, понесенные лицами, участвующими в деле, в пользу которых принят </w:t>
      </w:r>
      <w:proofErr w:type="spellStart"/>
      <w:r w:rsidRPr="007A4D5D">
        <w:t>судебныи</w:t>
      </w:r>
      <w:proofErr w:type="spellEnd"/>
      <w:r w:rsidRPr="007A4D5D">
        <w:t xml:space="preserve">̆ акт взыскиваются арбитражным судом с </w:t>
      </w:r>
      <w:proofErr w:type="spellStart"/>
      <w:r w:rsidRPr="007A4D5D">
        <w:t>проигравшеи</w:t>
      </w:r>
      <w:proofErr w:type="spellEnd"/>
      <w:r w:rsidRPr="007A4D5D">
        <w:t xml:space="preserve">̆ стороны, причем расходы взыскиваются арбитражным судом в разумных пределах.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В пункте 20 Информационного письма от 13.08.2004 </w:t>
      </w:r>
      <w:proofErr w:type="spellStart"/>
      <w:r w:rsidRPr="007A4D5D">
        <w:t>No</w:t>
      </w:r>
      <w:proofErr w:type="spellEnd"/>
      <w:r w:rsidRPr="007A4D5D">
        <w:t xml:space="preserve"> 82 "О некоторых вопросах применения Арбитражного процессуального кодекса </w:t>
      </w:r>
      <w:proofErr w:type="spellStart"/>
      <w:r w:rsidRPr="007A4D5D">
        <w:t>Российскои</w:t>
      </w:r>
      <w:proofErr w:type="spellEnd"/>
      <w:r w:rsidRPr="007A4D5D">
        <w:t xml:space="preserve">̆ Федерации" Президиум Высшего Арбитражного Суда </w:t>
      </w:r>
      <w:proofErr w:type="spellStart"/>
      <w:r w:rsidRPr="007A4D5D">
        <w:t>Российскои</w:t>
      </w:r>
      <w:proofErr w:type="spellEnd"/>
      <w:r w:rsidRPr="007A4D5D">
        <w:t xml:space="preserve">̆ Федерации указал, что разумность предела судебных издержек на возмещение расходов по оплате услуг представителя, требование о </w:t>
      </w:r>
      <w:proofErr w:type="spellStart"/>
      <w:r w:rsidRPr="007A4D5D">
        <w:t>которои</w:t>
      </w:r>
      <w:proofErr w:type="spellEnd"/>
      <w:r w:rsidRPr="007A4D5D">
        <w:t xml:space="preserve">̆ прямо закреплено в ст. 110 Арбитражного процессуального кодекса РФ, является </w:t>
      </w:r>
      <w:proofErr w:type="spellStart"/>
      <w:r w:rsidRPr="007A4D5D">
        <w:t>оценочнои</w:t>
      </w:r>
      <w:proofErr w:type="spellEnd"/>
      <w:r w:rsidRPr="007A4D5D">
        <w:t xml:space="preserve">̆ </w:t>
      </w:r>
      <w:proofErr w:type="spellStart"/>
      <w:r w:rsidRPr="007A4D5D">
        <w:t>категориеи</w:t>
      </w:r>
      <w:proofErr w:type="spellEnd"/>
      <w:r w:rsidRPr="007A4D5D">
        <w:t xml:space="preserve">̆, поэтому в каждом конкретном случае суд должен исследовать обстоятельства, связанные с участием представителя в споре.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При определении разумных пределов расходов на оплату услуг представителя могут приниматься во внимание, в частности: нормы расходов на служебные командировки, установленные правовыми актами; стоимость экономных транспортных услуг: время, которое мог бы затратить на подготовку материалов </w:t>
      </w:r>
      <w:proofErr w:type="spellStart"/>
      <w:r w:rsidRPr="007A4D5D">
        <w:t>квалифицированныи</w:t>
      </w:r>
      <w:proofErr w:type="spellEnd"/>
      <w:r w:rsidRPr="007A4D5D">
        <w:t xml:space="preserve">̆ специалист; сложившаяся в регионе стоимость оплаты услуг адвокатов; имеющиеся сведения статистических органов о ценах на рынке юридических услуг : продолжительность рассмотрения и сложность дела.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Доказательства, подтверждающие разумность расходов на оплату услуг представителя, должна представить сторона, требующая возмещения указанных расходов (статья 65 АПК РФ). </w:t>
      </w:r>
      <w:proofErr w:type="gramStart"/>
      <w:r w:rsidRPr="007A4D5D">
        <w:t>При этом,</w:t>
      </w:r>
      <w:proofErr w:type="gramEnd"/>
      <w:r w:rsidRPr="007A4D5D">
        <w:t xml:space="preserve"> договор по оказанию </w:t>
      </w:r>
      <w:proofErr w:type="spellStart"/>
      <w:r w:rsidRPr="007A4D5D">
        <w:t>правовои</w:t>
      </w:r>
      <w:proofErr w:type="spellEnd"/>
      <w:r w:rsidRPr="007A4D5D">
        <w:t xml:space="preserve">̆ помощи не является безусловным доказательством разумности расходов.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В связи с чем, заявителем в материалы дела были представлены договор поручения </w:t>
      </w:r>
      <w:proofErr w:type="spellStart"/>
      <w:r w:rsidRPr="007A4D5D">
        <w:t>No</w:t>
      </w:r>
      <w:proofErr w:type="spellEnd"/>
      <w:r w:rsidRPr="007A4D5D">
        <w:t xml:space="preserve"> 01/19-14 от 26.04.2019г., платежное поручение </w:t>
      </w:r>
      <w:proofErr w:type="spellStart"/>
      <w:r w:rsidRPr="007A4D5D">
        <w:t>No</w:t>
      </w:r>
      <w:proofErr w:type="spellEnd"/>
      <w:r w:rsidRPr="007A4D5D">
        <w:t xml:space="preserve"> 646 от 07.05.2019г.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Критерии разумности законодательно не определены, поэтому </w:t>
      </w:r>
      <w:proofErr w:type="spellStart"/>
      <w:r w:rsidRPr="007A4D5D">
        <w:t>арбитражныи</w:t>
      </w:r>
      <w:proofErr w:type="spellEnd"/>
      <w:r w:rsidRPr="007A4D5D">
        <w:t xml:space="preserve">̆ суд должен исходить из объема оказанных представителем услуг, характера спора и суммы спора, подлежащих представлению документов, </w:t>
      </w:r>
      <w:proofErr w:type="spellStart"/>
      <w:r w:rsidRPr="007A4D5D">
        <w:t>сложившейся</w:t>
      </w:r>
      <w:proofErr w:type="spellEnd"/>
      <w:r w:rsidRPr="007A4D5D">
        <w:t xml:space="preserve"> </w:t>
      </w:r>
      <w:proofErr w:type="spellStart"/>
      <w:r w:rsidRPr="007A4D5D">
        <w:t>судебнои</w:t>
      </w:r>
      <w:proofErr w:type="spellEnd"/>
      <w:r w:rsidRPr="007A4D5D">
        <w:t xml:space="preserve">̆ практики в результате неоднократного рассмотрения аналогичных дел. Кроме того, суд на основании ч.1 ст. 71 АПК РФ оценивает имеющиеся в деле доказательства понесенных сторонами судебных расходов по своему внутреннему убеждению, основанному на всестороннем, полном, объективном исследовании доказательств.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Судом дана оценка имеющимся в деле доказательствам, проведен анализ </w:t>
      </w:r>
      <w:proofErr w:type="spellStart"/>
      <w:r w:rsidRPr="007A4D5D">
        <w:t>действии</w:t>
      </w:r>
      <w:proofErr w:type="spellEnd"/>
      <w:r w:rsidRPr="007A4D5D">
        <w:t xml:space="preserve">̆ представителя истца, размера судебных расходов, количества часов, затраченных на проведенные мероприятия. Суд считает заявленную сумму расходов на оплату услуг представителя </w:t>
      </w:r>
      <w:proofErr w:type="spellStart"/>
      <w:r w:rsidRPr="007A4D5D">
        <w:t>соразмернои</w:t>
      </w:r>
      <w:proofErr w:type="spellEnd"/>
      <w:r w:rsidRPr="007A4D5D">
        <w:t xml:space="preserve">̆ с учетом конкретных обстоятельств дела, количества судебных заседаний, а также с учетом суммы заявленных исковых требований, исходя из чего, следует признать разумными понесенные расходы в сумме 50 000 руб.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Доводы ответчика судом отклоняются, как необоснованные и документально не подтвержденные. </w:t>
      </w:r>
    </w:p>
    <w:p w:rsidR="007A4D5D" w:rsidRPr="007A4D5D" w:rsidRDefault="007A4D5D" w:rsidP="007A4D5D">
      <w:pPr>
        <w:pStyle w:val="a3"/>
        <w:jc w:val="both"/>
      </w:pPr>
      <w:proofErr w:type="gramStart"/>
      <w:r w:rsidRPr="007A4D5D">
        <w:t>При изложенных обстоятельствах,</w:t>
      </w:r>
      <w:proofErr w:type="gramEnd"/>
      <w:r w:rsidRPr="007A4D5D">
        <w:t xml:space="preserve"> </w:t>
      </w:r>
      <w:proofErr w:type="spellStart"/>
      <w:r w:rsidRPr="007A4D5D">
        <w:t>арбитражныи</w:t>
      </w:r>
      <w:proofErr w:type="spellEnd"/>
      <w:r w:rsidRPr="007A4D5D">
        <w:t xml:space="preserve">̆ суд считает, что исковые требования являются обоснованными, подтверждены материалами дела и подлежат удовлетворению в полном объеме. </w:t>
      </w:r>
    </w:p>
    <w:p w:rsidR="007A4D5D" w:rsidRPr="007A4D5D" w:rsidRDefault="007A4D5D" w:rsidP="007A4D5D">
      <w:pPr>
        <w:pStyle w:val="a3"/>
        <w:jc w:val="both"/>
      </w:pPr>
      <w:r w:rsidRPr="007A4D5D">
        <w:lastRenderedPageBreak/>
        <w:t xml:space="preserve">В соответствии со ст. 110 АПК РФ расходы по госпошлине подлежат взысканию с ответчика в полном объеме, поскольку требования, заявленные в иске, обоснованы. При этом суд учитывает, что согласно п.21 Постановления Пленума ВАС РФ от 11.07.2014г. No46, если </w:t>
      </w:r>
      <w:proofErr w:type="spellStart"/>
      <w:r w:rsidRPr="007A4D5D">
        <w:t>судебныи</w:t>
      </w:r>
      <w:proofErr w:type="spellEnd"/>
      <w:r w:rsidRPr="007A4D5D">
        <w:t xml:space="preserve">̆ акт принят не в пользу государственного органа, расходы заявителя по уплате </w:t>
      </w:r>
      <w:proofErr w:type="spellStart"/>
      <w:r w:rsidRPr="007A4D5D">
        <w:t>государственнои</w:t>
      </w:r>
      <w:proofErr w:type="spellEnd"/>
      <w:r w:rsidRPr="007A4D5D">
        <w:t xml:space="preserve">̆ пошлины подлежат возмещению этим органом в составе судебных расходов (часть 1 статьи 110 АПК РФ). 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На основании изложенного, руководствуясь </w:t>
      </w:r>
      <w:proofErr w:type="spellStart"/>
      <w:r w:rsidRPr="007A4D5D">
        <w:t>ст.ст</w:t>
      </w:r>
      <w:proofErr w:type="spellEnd"/>
      <w:r w:rsidRPr="007A4D5D">
        <w:t xml:space="preserve">. 8, 12, 1102, 1107 ГК РФ, </w:t>
      </w:r>
      <w:proofErr w:type="spellStart"/>
      <w:r w:rsidRPr="007A4D5D">
        <w:t>ст.ст</w:t>
      </w:r>
      <w:proofErr w:type="spellEnd"/>
      <w:r w:rsidRPr="007A4D5D">
        <w:t xml:space="preserve">. 65, 71, 75, 104, 110, 137, 167-171, 176, 180, 181 АПК РФ, суд </w:t>
      </w:r>
    </w:p>
    <w:p w:rsidR="007A4D5D" w:rsidRPr="007A4D5D" w:rsidRDefault="007A4D5D" w:rsidP="007A4D5D">
      <w:pPr>
        <w:pStyle w:val="a3"/>
        <w:jc w:val="center"/>
      </w:pPr>
      <w:r w:rsidRPr="007A4D5D">
        <w:t>РЕШИЛ: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Исковые требования ОБЩЕСТВА С ОГРАНИЧЕННОЙ ОТВЕТСТВЕННОСТЬЮ "ИНТЕРФЛЕКСО М" удовлетворить в полном объеме. </w:t>
      </w:r>
    </w:p>
    <w:p w:rsidR="007A4D5D" w:rsidRDefault="007A4D5D" w:rsidP="007A4D5D">
      <w:pPr>
        <w:pStyle w:val="a3"/>
        <w:jc w:val="both"/>
      </w:pPr>
      <w:r w:rsidRPr="007A4D5D">
        <w:t xml:space="preserve">Взыскать с ДЕПАРТАМЕНТА ФЕДЕРАЛЬНОЙ СЛУЖБЫ ПО НАДЗОРУ В СФЕРЕ ПРИРОДОПОЛЬЗОВАНИЯ ПО ЦЕНТРАЛЬНОМУ ФЕДЕРАЛЬНОМУ ОКРУГУ за счет казны </w:t>
      </w:r>
      <w:proofErr w:type="spellStart"/>
      <w:r w:rsidRPr="007A4D5D">
        <w:t>Российскои</w:t>
      </w:r>
      <w:proofErr w:type="spellEnd"/>
      <w:r w:rsidRPr="007A4D5D">
        <w:t xml:space="preserve">̆ Федерации в пользу ОБЩЕСТВА С ОГРАНИЧЕННОЙ ОТВЕТСТВЕННОСТЬЮ "ИНТЕРФЛЕКСО М" сумму неосновательного обогащения в размере 931 105 (девятьсот тридцать одна тысяча сто пять) руб. 01 коп., расходы по уплате госпошлины в размере 21 622 (двадцать одна тысяча шестьсот двадцать два) руб. 00 коп, судебные расходы на оплату услуг представителя в размере 50 000 (пятьдесят тысяч) руб. 00 коп. </w:t>
      </w:r>
    </w:p>
    <w:p w:rsidR="007A4D5D" w:rsidRPr="007A4D5D" w:rsidRDefault="007A4D5D" w:rsidP="007A4D5D">
      <w:pPr>
        <w:pStyle w:val="a3"/>
        <w:jc w:val="both"/>
      </w:pPr>
      <w:r w:rsidRPr="006333D0">
        <w:t xml:space="preserve">Решение может быть обжаловано в </w:t>
      </w:r>
      <w:proofErr w:type="spellStart"/>
      <w:r w:rsidRPr="006333D0">
        <w:t>Де</w:t>
      </w:r>
      <w:r>
        <w:t>в</w:t>
      </w:r>
      <w:r w:rsidRPr="006333D0">
        <w:t>ятыи</w:t>
      </w:r>
      <w:proofErr w:type="spellEnd"/>
      <w:r w:rsidRPr="006333D0">
        <w:t xml:space="preserve">̆ </w:t>
      </w:r>
      <w:proofErr w:type="spellStart"/>
      <w:r w:rsidRPr="006333D0">
        <w:t>арбитражныи</w:t>
      </w:r>
      <w:proofErr w:type="spellEnd"/>
      <w:r w:rsidRPr="006333D0">
        <w:t xml:space="preserve">̆ </w:t>
      </w:r>
      <w:proofErr w:type="spellStart"/>
      <w:r w:rsidRPr="006333D0">
        <w:t>апелляционныи</w:t>
      </w:r>
      <w:proofErr w:type="spellEnd"/>
      <w:r w:rsidRPr="006333D0">
        <w:t>̆ суд в установленном законом порядке.</w:t>
      </w:r>
    </w:p>
    <w:p w:rsidR="007A4D5D" w:rsidRPr="007A4D5D" w:rsidRDefault="007A4D5D" w:rsidP="007A4D5D">
      <w:pPr>
        <w:pStyle w:val="a3"/>
        <w:jc w:val="both"/>
      </w:pPr>
      <w:r w:rsidRPr="007A4D5D">
        <w:t xml:space="preserve">Судья С.В. </w:t>
      </w:r>
      <w:proofErr w:type="spellStart"/>
      <w:r w:rsidRPr="007A4D5D">
        <w:t>Романенкова</w:t>
      </w:r>
      <w:proofErr w:type="spellEnd"/>
      <w:r w:rsidRPr="007A4D5D">
        <w:t xml:space="preserve"> </w:t>
      </w:r>
    </w:p>
    <w:p w:rsidR="00285496" w:rsidRPr="007A4D5D" w:rsidRDefault="00285496" w:rsidP="007A4D5D">
      <w:pPr>
        <w:jc w:val="both"/>
        <w:rPr>
          <w:rFonts w:ascii="Times New Roman" w:hAnsi="Times New Roman" w:cs="Times New Roman"/>
        </w:rPr>
      </w:pPr>
    </w:p>
    <w:sectPr w:rsidR="00285496" w:rsidRPr="007A4D5D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5D"/>
    <w:rsid w:val="0005675B"/>
    <w:rsid w:val="000F4E36"/>
    <w:rsid w:val="00285496"/>
    <w:rsid w:val="007A4D5D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C91F6"/>
  <w15:chartTrackingRefBased/>
  <w15:docId w15:val="{4BB07BB5-B973-9C4D-83AB-0CD5C8C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D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A4D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k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2384</Words>
  <Characters>13593</Characters>
  <Application>Microsoft Office Word</Application>
  <DocSecurity>0</DocSecurity>
  <Lines>113</Lines>
  <Paragraphs>31</Paragraphs>
  <ScaleCrop>false</ScaleCrop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2019-08-10T14:15:00Z</dcterms:created>
  <dcterms:modified xsi:type="dcterms:W3CDTF">2019-08-10T14:22:00Z</dcterms:modified>
</cp:coreProperties>
</file>