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304" w:rsidRPr="00251304" w:rsidRDefault="00251304" w:rsidP="0025130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251304">
        <w:rPr>
          <w:rFonts w:ascii="Times New Roman,Bold" w:eastAsia="Times New Roman" w:hAnsi="Times New Roman,Bold" w:cs="Times New Roman"/>
          <w:sz w:val="32"/>
          <w:szCs w:val="32"/>
          <w:lang w:eastAsia="ru-RU"/>
        </w:rPr>
        <w:t>ДЕСЯТЫЙ АРБИТРАЖНЫЙ АПЕЛЛЯЦИОННЫЙ СУД</w:t>
      </w:r>
    </w:p>
    <w:p w:rsidR="00251304" w:rsidRPr="00251304" w:rsidRDefault="00251304" w:rsidP="0025130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lang w:eastAsia="ru-RU"/>
        </w:rPr>
        <w:t xml:space="preserve">117997, г. Москва, ул. Садовническая, д. 68/70, стр. 1, </w:t>
      </w:r>
      <w:r w:rsidRPr="00251304">
        <w:rPr>
          <w:rFonts w:ascii="Times New Roman" w:eastAsia="Times New Roman" w:hAnsi="Times New Roman" w:cs="Times New Roman"/>
          <w:color w:val="0000FF"/>
          <w:lang w:eastAsia="ru-RU"/>
        </w:rPr>
        <w:t xml:space="preserve">www.10aas.arbitr.ru </w:t>
      </w:r>
      <w:r w:rsidRPr="00251304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ПОСТАНОВЛЕНИЕ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</w:t>
      </w:r>
      <w:r w:rsidRPr="002513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 октября 2019 года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</w:t>
      </w:r>
      <w:proofErr w:type="spellStart"/>
      <w:r w:rsidRPr="00251304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5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А41-35503/19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10АП-18661/19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lang w:eastAsia="ru-RU"/>
        </w:rPr>
        <w:t xml:space="preserve">Резолютивная часть постановления объявлена 09 октября 2019 года Постановление изготовлено в полном объеме 16 октября 2019 года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Десятыи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арбитражныи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апелляционныи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суд в составе: председательствующего судьи: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Семушкинои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̆ В.Н.,</w:t>
      </w: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̆: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Боровиковои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С.В.,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Пивоваровои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̆ Л.В.,</w:t>
      </w: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при ведении протокола судебного заседания: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Исаченковои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А.А., при участии в заседании: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ГУП МО УЕЗ "МОСОБЛКОММУНАЛСТРОЙ": </w:t>
      </w:r>
      <w:r w:rsidRPr="002513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адвокат </w:t>
      </w:r>
      <w:r w:rsidRPr="002513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Королева С.О.,</w:t>
      </w: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представитель по доверенности от 28.12.2018;</w:t>
      </w: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ООО "ИНЖСЕТЬПРОЕКТ": представитель не явился, извещен надлежащим образом, рассмотрев в судебном заседании апелляционную жалобу ООО "ИНЖСЕТЬПРОЕКТ" на решение Арбитражного суда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области от 29 июля 2019 года по делу NoА41- 35503/19, по исковому заявлению ГУП МО УЕЗ "МОСОБЛКОММУНАЛСТРОЙ" к ООО "ИНЖСЕТЬПРОЕКТ" о взыскании,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ГУП МО УЕЗ "МОСОБЛКОММУНАЛСТРОЙ" обратилось в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Арбитражныи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суд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области с иском к ООО "ИНЖСЕТЬПРОЕКТ" о взыскании задолженности в размере 2 800 000 руб., пени в размере 2 800 000 руб., с 12.04.2019г. процентов до фактического исполнения обязательств, штрафа в размере 466 666,65 руб., расходы на оплату услуг представителя в размере 100 000 руб., ссылаясь на ненадлежащее исполнение ответчиком обязательств в рамках договора подряда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2/СП-2016г. от 18.01.2016г. </w:t>
      </w:r>
    </w:p>
    <w:p w:rsid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Арбитражного суда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̆ области от 29 июля 2019 года по делу NoА41-35503/19 требования ГУП МО УЕЗ "МОСОБЛКОММУНАЛСТРОЙ"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удовлетворены.</w:t>
      </w: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согласившись с принятым решением суда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̆ инстанции, ООО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"ИНЖСЕТЬПРОЕКТ" обратилось с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̆, в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просит решение суда отменить, в удовлетворении исковых требований – отказать. В обоснование доводов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жалобы ответчик сослался на то, что решение суда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инстанции вынесено при неполном выяснении обстоятельств, </w:t>
      </w: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имеющих значение для дела, с нарушением норм процессуального и материального права.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ГУП МО УЕЗ "МОСОБЛКОММУНАЛСТРОЙ" в судебном заседании поддержал решение суда, просил оставить его без изменения, апелляционную жалобу - без удовлетворения.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Представители ООО "ИНЖСЕТЬПРОЕКТ", извещенные надлежащим образом о времени и месте рассмотрения дела (в том числе публично путем размещения информации на официальном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сайте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суда www.10aas.arbitr.ru), в суд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инстанции не явились , в связи с чем, дело рассмотрено апелляционным судом в порядке ст. 156 АПК РФ в их отсутствие.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Законность и обоснованность обжалуемого судебного акта проверены в соответствии со ст. ст. 266, 268 АПК РФ.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представленные в дело доказательства, отзыв </w:t>
      </w:r>
      <w:proofErr w:type="gram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апелляционную жалобу</w:t>
      </w:r>
      <w:proofErr w:type="gram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заслушав представителя истца, рассмотрев доводы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жалобы, суд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инстанции не находит оснований для отмены решения и удовлетворения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жалобы, исходя из следующего.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следует из материалов дела и установлено судом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̆ инстанции, 18.01.2016г. между ГУП МО УЕЗ «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Мособлкоммуналстрои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̆» (Подрядчик) и ООО «Проектирование инженерных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 сооружений» (Субподрядчик) заключен Договор подряда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2/СП-2016 на выполнение проектно-изыскательских работ по строительству очистных сооружений в поселке Красная Пахра поселение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Краснопахорское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Троицкого административного округа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области.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договора определена в сумме 9.333.333,34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исполнения Субподрядчиком обязательств по Договору - не позднее 31.12.2016г.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п.2.5 Договора Подрядчик произвел выплату авансового платежа в размере 30% от цены Договора, платежными поручениями: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280 от 22.07.2016г. на сумму 1.250.000,00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̆,</w:t>
      </w: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368 от 06.09.2016г. на сумму 1.000.000,00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̆;</w:t>
      </w: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99 от 03.11.2016г. на сумму 550.000.00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̆</w:t>
      </w:r>
      <w:proofErr w:type="gram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сумме составило 2.800.000.00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̆.</w:t>
      </w: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Однако Субподрядчик к исполнению договора не приступил, работы в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срок не выполнил, истцу результат работ не сдал, документы, подтверждающие выполнение работ по договору, в адрес Подрядчика не представил.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Письмом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 от 19.02.2019г.</w:t>
      </w:r>
      <w:proofErr w:type="gram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направленным на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фактическии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̆ адрес. истец уведомил ответчика об отказе от договора и его расторжении в связи с неисполнением ООО «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Инжсетьпроект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принятых на себя обязательств. От </w:t>
      </w: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получения писем в отделении связи ответчик уклонился, за истечением срока хранения они были возвращены отправителю 01.04.2019г. и 04.04.2019г.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договор считается расторгнутым с 04.04.2019г.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п.8.2 Договора Субподрядчик обязан возвратить Подрядчику аванс.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выданныи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в соответствии с условиями настоящего договора, в течение 5 банковских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с момента расторжения договора, т.е.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Субподрядчиком аванс в сумме 2.800.000.00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должен был быть им возвращен Подрядчику не позднее 11.04.2019г.. что сделано не было, в связи с чем за Субподрядчиком числится задолженность в размере 2.800.000,00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досудебном порядке требование о погашении суммы долга, пени, штрафа было заявлено Подрядчиком в письме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 от 19.02.2019г., однако осталось без ответа.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ответчик в добровольном порядке не исполнил обязательства, претензию оставил без удовлетворения, истец обратился с настоящим иском в суд.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Удовлетворяя исковые требования, суд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инстанции исходил из того, что ответчиком не представлено доказательств надлежащего исполнения обязательств перед истцом в рамках договора подряда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2/СП-2016г. от 18.01.2016г.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Принимая оспариваемое решение, суд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инстанции, вопреки доводам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жалобы, полно и всесторонне исследовал имеющие значение для правильного рассмотрения дела обстоятельства, правильно применил и истолковал нормы материального права и на их основании сделал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обоснованныи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вывод о наличии оснований для удовлетворения исковых требований.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пункту 1 статьи 702 Гражданского кодекса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 по договору подряда одна сторона (подрядчик) обязуется выполнить по заданию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стороны (заказчика) определенную работу и сдать ее результат заказчику, а заказчик обязуется принять результат работы и оплатить его.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п. 1 ст. 314 ГК РФ, если обязательство предусматривает или позволяет определить день его исполнения или период времени, в течение которого оно должно быть исполнено, обязательство подлежит исполнению в этот день или, соответственно, в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момент в пределах такого периода.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статье 309 Гражданского кодекса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условий и требований - в соответствии с обычаями или иными обычно предъявляемыми требованиями.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310 Гражданского кодекса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 установлено, что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одностороннии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отказ от исполнения обязательства и одностороннее изменение его условий не допускаются, за исключением случаев, предусмотренных настоящим Кодексом, другими законами или иными правовыми актами. Одностороннее изменение условий обязательства, связанного с осуществлением всеми его </w:t>
      </w: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сторонами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деятельности, или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одностороннии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отказ от исполнения этого обязательства допускается в случаях, предусмотренных настоящим Кодексом, другими законами, иными правовыми актами или договором.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разъяснения, содержащегося в пункте 1 Информационного письма Президиума Высшего Арбитражного Суда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 от 11.01.2000 N49 "Обзор практики рассмотрения спорок, связанных с применением норм о неосновательном обогащении".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пункту 1 статьи 1102 Гражданского кодекса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 лицо. которое без установленных законом, иными правовыми актами или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основании приобрело или сберегло имущество (приобретатель) за счет другого .ища (потерпевшего), обязано возвратить последнему неосновательно приобретенное или сбереженное имущество (неосновательное обогащение), за исключением случаев, предусмотренных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1109 Гражданского кодекса.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3.1. ст. 70 Арбитражного процессуального кодекса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 обстоятельства, на которые ссылается сторона в обоснование своих требований или возражений, считаются признанными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̆, если они ею прямо не оспорены или несогласие с такими обстоятельствами не вытекает из иных доказательств, обосновывающих представленные возражения относительно существа заявленных требований.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инстанции обосновано удовлетворил требование о взыскании долга (неосновательного обогащения) в размере 2 800 000 руб., поскольку ответчиком не представлено доказательств надлежащего исполнения обязательств перед истцом в рамках договора подряда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2/СП-2016г. от 18.01.2016.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истцом заявлены требования о взыскании пени в размере 2 800 000 руб., с 12.04.2019г. процентов до фактического исполнения обязательств, штрафа в размере 466 666,65 руб.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п.7.3 Договора в случае просрочки исполнения Субподрядчиком обязательств (в том числе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гарантийного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обязательства), предусмотренных настоящим Договором, а также в иных случаях ненадлежащего исполнения Субподрядчиком обязательств, предусмотренных Договором, Подрядчик направляет Субподрядчику требование об уплате неустоек (штрафов,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̆).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Пеня начисляется за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день просрочки исполнения Субподрядчиком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обязательства. Пеня устанавливается в размере не менее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трехсотои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действующеи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на дату уплаты пени ставки рефинансирования Центрального банка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 от цены Договора,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ни сумму, пропорциональную объему обязательств, предусмотренных Договором и фактически исполненных Субподрядчиком.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Согласно формуле,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в договоре, сумма пени за просрочку исполнения субподрядчиком обязательств по выполнению работ за период с 01.01.2017г. по 19.02.2019г. составляет 5.642.000,00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(расчет истцом представлен). При этом, истец добровольно снижает размер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пени и просит суд взыскать ее в размере 2.800.000,00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п.7.3 Договора штрафы начисляются за ненадлежащее исполнение и/или неисполнение Субподрядчиком обязательств, предусмотренных Договором, за исключением просрочки исполнения Субподрядчиком обязательств (в том числе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гарантийного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обязательстве), предусмотренных Договором. Размер штрафа является фиксированным и составляет 5% от цены Договора.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ч.2 ст. 1107 ГК РФ на сумму неосновательного денежного обогащения подлежат начислению проценты за пользование чужими средствами (статья 395) с того времени, когда приобретатель узнал или должен был узнать о неосновательности получения или сбережения денежных средств.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тем</w:t>
      </w:r>
      <w:proofErr w:type="gram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ответчик в течение 5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с момента расторжения договора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неотработанныи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аванс истцу не вернул на сумму задолженности подлежат начислению проценты за пользование чужими денежными средствами.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65 постановления Пленума ВС РФ от 24.03.2016 N 7 "О применении судами некоторых положений Гражданского кодекса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 об ответственности за нарушение обязательств" даны разъяснения о том, что, по смыслу статьи 330 ГК РФ, истец вправе требовать присуждения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неустойки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день фактического исполнения обязательства (в частности,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уплаты кредитору денежных средств, передачи товара, завершения работ). Присуждая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неустойку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суд по требованию истца в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части решения указывает сумму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неустойки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исчисленную на дату вынесения решения и подлежащую взысканию, а также то, что такое взыскание производится до момента фактического исполнения обязательства.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истцом расчет подлежащих взысканию штрафных санкций, а также период их начисления и размер, проверен апелляционным судом и признан верным.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48 Постановления Пленума Верховного Суда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 от 24.03.2016 г. N 7, проценты за пользование чужими денежными средствами по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требованию истца взимаются по день уплаты этих средств кредитору. Одновременно с установлением суммы процентов, подлежащих взысканию, суд при наличии требования истца в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части решения указывает на </w:t>
      </w: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взыскание процентов до момента фактического исполнения обязательства (пункт 3 статьи 395 ГКРФ).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в рамках настоящего дела истцом заявлено требование о взыскании расходов в размере 100 000 руб.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статье 101 Арбитражного процессуального кодекса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 судебные расходы состоят из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пошлины и судебных издержек, связанных с рассмотрением дела арбитражным судом.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статьи 106 Арбитражного процессуального кодекса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̆ Федерации к судебным издержкам, связанным с рассмотрением дела в арбитражном суде, относятся, в том числе, расходы на оплату услуг адвокатов и иных лиц, оказывающих юридическую помощь (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̆).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статьи 110 Арбитражного процессуального кодекса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 расходы на оплату услуг представителя, понесенные лицом, в пользу которого принят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судебныи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акт, взыскиваются арбитражным судом с другого лица, участвующего в деле, в разумных пределах (пункт 12 постановления Пленума Верховного суда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 от 21.01.2016 N 1 "О некоторых вопросах применения законодательства о возмещении издержек, связанных с рассмотрением дела").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обоснование заявленного требования истец представил: копию Договора поручения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01/19-07 от 11.01.2019г., копии платежных поручений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от 14.01.2019г. на сумму 50 000 руб.,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 от 06.02.2019г. на сумму 50 000 руб.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с заявлением о взыскании судебных издержек договор и документы подтверждают, что услуги представителя оказывались в рамках данного дела, факт принятия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помощи в объеме на сумму 100 000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подтвержден материалами дела.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следует из разъяснений, содержащихся в пункте 10 постановления Пленума Верховного суда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 от 21.01.2016 N 1 "О некоторых вопросах применения законодательства о возмещении издержек, связанных с рассмотрением дела", в Информационном письме Президиума Высшего Арбитражного Суда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 от 05.12.2007 N 121 (пункт 3), лицо, требующее возмещения расходов на оплату услуг представителя, доказывает их размер и факт выплаты, другая сторона вправе доказывать их чрезмерность (пункт 11 упомянутого постановления).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и оценив в порядке, предусмотренном нормами статьи 71 Арбитражного процессуального кодекса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Федерации, представленные в материалы дела доказательства, характер и объем фактически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представителем ответчика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помощи, с учетом принципа разумности, объема и сложности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представителем работы, времени, которое мог бы затратить на подготовку материалов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квалифицированныи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специалист, руководствуясь положениями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106, 110 Арбитражного процессуального </w:t>
      </w: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кодекса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Федерации, абзацем 2 пункта 30 постановления Верховного Суда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 от 21.01.2016 N 1 "О некоторых вопросах применения законодательства о возмещении издержек, связанных с рассмотрением дела", пунктом 20 Информационного письма Высшего Арбитражного Суда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 от 13.08.2004 N 82 "О некоторых вопросах применения Арбитражного процессуального кодекса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Федерации", суд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инстанции обосновано удовлетворил указанное требование в полном объеме.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жалобе Ответчик ссылается на то, что судом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инстанции при вынесении решения не приняты во внимание доводы, изложенные им в отзыве </w:t>
      </w:r>
      <w:proofErr w:type="gram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исковое заявление</w:t>
      </w:r>
      <w:proofErr w:type="gram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не оценены доказательства, приложенные к отзыву на исковое заявление.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сведениям картотеки арбитражных дел http://kad.arbitr.ru/Card/eb7f8483- fc60-4653-88eb-445a53973ede отзыв </w:t>
      </w:r>
      <w:proofErr w:type="gram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исковое заявление</w:t>
      </w:r>
      <w:proofErr w:type="gram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 в суд 17.07.2019г., в то время, как судебное заседание, на котором спор был рассмотрен по существу, состоялось 16.07.2019г.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ответчик явку своего представителя на судебное заседание не обеспечил, истцу и суду отзыв с прилагаемыми материалами заблаговременно не направил.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3 ст.65 АПК РФ каждое лицо, участвующее в деле, должно раскрыть доказательства, на которые оно ссылается как на основание своих требований и возражений, перед другими лицами, участвующими в деле, до начала судебного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Arial" w:eastAsia="Times New Roman" w:hAnsi="Arial" w:cs="Arial"/>
          <w:sz w:val="16"/>
          <w:szCs w:val="16"/>
          <w:lang w:eastAsia="ru-RU"/>
        </w:rPr>
        <w:t xml:space="preserve">9 А41-35503/19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или в пределах срока, установленного судом, если иное не установлено настоящим Кодексом.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инстанции определением от 26.04.2019г. назначил ответчику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срок: «в срок,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обеспечивающии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возможность ознакомления до начала судебного заседания (20.06.2019г.), направить или представить в суд и лицам, участвующим в деле,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отзыв на исковое заявление с указанием возражений». Повторно суд определением от 20.06.2019г. указал ответчику на необходимость предоставления отзыва </w:t>
      </w:r>
      <w:proofErr w:type="gram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иск</w:t>
      </w:r>
      <w:proofErr w:type="gram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Но ответчик данное указание суда не исполнил, ни к судебному заседанию, состоявшемуся 20.06.2019г., ни к судебному заседанию, состоявшемуся 16.07.2019г. отзыв не представил, имеющиеся у него доказательства заблаговременно не раскрыл.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ни на одно судебное заседание ответчик явку своего представителя не обеспечил, поддержать свою позицию и представить доказательства в заседании не пожелал.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с. 4 ст.131 АПК РФ в случае, если в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судом срок ответчик не представит отзыв </w:t>
      </w:r>
      <w:proofErr w:type="gram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исковое заявление</w:t>
      </w:r>
      <w:proofErr w:type="gram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арбитражныи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суд вправе рассмотреть дело по имеющимся в деле доказательствам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Учитывая, что отзыв ответчика на исковое заявление поступил в суд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инстанции после вынесения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части решения, то есть после рассмотрения дела по существу, у суда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инстанции не имелось оснований для отказа в удовлетворении заявленного иска, и приложенные к отзыву документы не могут быть учтены в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момент в качестве имеющихся в деле доказательств.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ч. 2 ст. 268 АПК РФ следует, что дополнительные доказательства принимаются арбитражным судом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инстанции, если лицо, участвующее в деле, обосновало невозможность их представления в суд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инстанции по причинам, не зависящим от него, в том числе в случае, если судом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инстанции было отклонено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ходатайство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истребовании доказательств, и суд признает эти причины уважительными.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подаче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жалобы ответчик не заявлял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ходатайство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принятии к рассмотрению доказательств, приложенных к отзыву </w:t>
      </w:r>
      <w:proofErr w:type="gram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исковое заявление</w:t>
      </w:r>
      <w:proofErr w:type="gram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этим не имеется оснований для исследования данных документов, поскольку ответчиком не обоснована невозможность их представления в суд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инстанции.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приведенные в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жалобе доводы не могут являться основанием к отмене принятого судом решения. Обстоятельства по делу судом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инстанции установлены полно и правильно, им дана надлежащая правовая оценка. Нарушений норм процессуального права судом не допущено. Оснований для отмены решения суда не имеется.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при принятии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жалобы к производству ООО "ИНЖСЕТЬПРОЕКТ" была предоставлена отсрочка по уплате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пошлины до рассмотрения спора по существу, судебные расходы подлежат взысканию с ответчика в доход Федерального бюджета.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статьями 266, 268, пунктом 1 статьи 269,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271 Арбитражного процессуального кодекса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Российскои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Федерации, суд </w:t>
      </w:r>
    </w:p>
    <w:p w:rsidR="00251304" w:rsidRPr="00251304" w:rsidRDefault="00251304" w:rsidP="0025130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,Bold" w:eastAsia="Times New Roman" w:hAnsi="Times New Roman,Bold" w:cs="Times New Roman"/>
          <w:sz w:val="26"/>
          <w:szCs w:val="26"/>
          <w:lang w:eastAsia="ru-RU"/>
        </w:rPr>
        <w:t>ПОСТАНОВИЛ: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Арбитражного суда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области от 29 июля 2019 года по делу NoА41-35503/19 оставить без изменения, апелляционную жалобу - без удовлетворения.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ООО "ИНЖСЕТЬПРОЕКТ" в доход Федерального бюджета судебные расходы по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жалобе в размере 3 000 руб.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порядке кассационного производства в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Арбитражныи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суд Московского округа в течение двух месяцев со дня его принятия (изготовления в полном объеме) через суд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инстанции.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Председательствующии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̆ В.Н. </w:t>
      </w:r>
      <w:proofErr w:type="spellStart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Семушкина</w:t>
      </w:r>
      <w:proofErr w:type="spellEnd"/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Судьи С.В. Боровикова </w:t>
      </w:r>
    </w:p>
    <w:p w:rsidR="00251304" w:rsidRPr="00251304" w:rsidRDefault="00251304" w:rsidP="0025130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51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Л.В. Пивоварова </w:t>
      </w:r>
    </w:p>
    <w:p w:rsidR="00285496" w:rsidRDefault="00285496"/>
    <w:sectPr w:rsidR="00285496" w:rsidSect="000F4E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04"/>
    <w:rsid w:val="0005675B"/>
    <w:rsid w:val="000F4E36"/>
    <w:rsid w:val="00251304"/>
    <w:rsid w:val="00285496"/>
    <w:rsid w:val="004A6D17"/>
    <w:rsid w:val="00EC1D61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50F673"/>
  <w15:chartTrackingRefBased/>
  <w15:docId w15:val="{9931FA56-6A54-564C-805F-72E01734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3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0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5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8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4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8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4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3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1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8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Королева</dc:creator>
  <cp:keywords/>
  <dc:description/>
  <cp:lastModifiedBy>Светлана Королева</cp:lastModifiedBy>
  <cp:revision>2</cp:revision>
  <dcterms:created xsi:type="dcterms:W3CDTF">2019-10-17T13:38:00Z</dcterms:created>
  <dcterms:modified xsi:type="dcterms:W3CDTF">2019-10-17T13:54:00Z</dcterms:modified>
</cp:coreProperties>
</file>